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03F4ED" w14:textId="69117DED" w:rsidR="00DB0654" w:rsidRDefault="00DB0654" w:rsidP="00DB0654">
      <w:pPr>
        <w:spacing w:after="160" w:line="259" w:lineRule="auto"/>
        <w:rPr>
          <w:rFonts w:asciiTheme="minorHAnsi" w:hAnsiTheme="minorHAnsi" w:cstheme="minorBidi"/>
        </w:rPr>
      </w:pPr>
    </w:p>
    <w:p w14:paraId="5F18D027" w14:textId="77777777" w:rsidR="00344317" w:rsidRPr="00DB0654" w:rsidRDefault="00344317" w:rsidP="00DB0654">
      <w:pPr>
        <w:spacing w:after="160" w:line="259" w:lineRule="auto"/>
        <w:rPr>
          <w:rFonts w:asciiTheme="minorHAnsi" w:hAnsiTheme="minorHAnsi" w:cstheme="minorBidi"/>
        </w:rPr>
      </w:pPr>
    </w:p>
    <w:p w14:paraId="49D7EA7C" w14:textId="77777777" w:rsidR="00DB0654" w:rsidRPr="00344317" w:rsidRDefault="00DB0654" w:rsidP="00DB0654">
      <w:pPr>
        <w:autoSpaceDE w:val="0"/>
        <w:autoSpaceDN w:val="0"/>
        <w:adjustRightInd w:val="0"/>
        <w:jc w:val="center"/>
        <w:rPr>
          <w:rFonts w:ascii="Verdana" w:hAnsi="Verdana" w:cs="Verdana"/>
          <w:color w:val="000000" w:themeColor="text1"/>
          <w:sz w:val="30"/>
          <w:szCs w:val="30"/>
        </w:rPr>
      </w:pPr>
      <w:bookmarkStart w:id="0" w:name="_Hlk99464788"/>
      <w:r w:rsidRPr="00344317">
        <w:rPr>
          <w:rFonts w:ascii="Verdana" w:hAnsi="Verdana" w:cs="Verdana"/>
          <w:b/>
          <w:bCs/>
          <w:color w:val="000000" w:themeColor="text1"/>
          <w:sz w:val="30"/>
          <w:szCs w:val="30"/>
        </w:rPr>
        <w:t>Incontro periodico con gli Ordini Professionali</w:t>
      </w:r>
    </w:p>
    <w:p w14:paraId="7B4B6E56" w14:textId="01681146" w:rsidR="00DB0654" w:rsidRPr="00344317" w:rsidRDefault="00DB0654" w:rsidP="00DB0654">
      <w:pPr>
        <w:autoSpaceDE w:val="0"/>
        <w:autoSpaceDN w:val="0"/>
        <w:adjustRightInd w:val="0"/>
        <w:jc w:val="center"/>
        <w:rPr>
          <w:rFonts w:ascii="Verdana" w:hAnsi="Verdana" w:cs="Verdana"/>
          <w:b/>
          <w:bCs/>
          <w:color w:val="000000" w:themeColor="text1"/>
          <w:sz w:val="30"/>
          <w:szCs w:val="30"/>
        </w:rPr>
      </w:pPr>
      <w:r w:rsidRPr="00344317">
        <w:rPr>
          <w:rFonts w:ascii="Verdana" w:hAnsi="Verdana" w:cs="Verdana"/>
          <w:b/>
          <w:bCs/>
          <w:color w:val="000000" w:themeColor="text1"/>
          <w:sz w:val="30"/>
          <w:szCs w:val="30"/>
        </w:rPr>
        <w:t xml:space="preserve">del </w:t>
      </w:r>
      <w:r w:rsidR="002101BD">
        <w:rPr>
          <w:rFonts w:ascii="Verdana" w:hAnsi="Verdana" w:cs="Verdana"/>
          <w:b/>
          <w:bCs/>
          <w:color w:val="000000" w:themeColor="text1"/>
          <w:sz w:val="30"/>
          <w:szCs w:val="30"/>
        </w:rPr>
        <w:t>18 febbraio 2025</w:t>
      </w:r>
    </w:p>
    <w:p w14:paraId="17D4E18A" w14:textId="77777777" w:rsidR="00DB0654" w:rsidRPr="00DB0654" w:rsidRDefault="00DB0654" w:rsidP="00DB0654">
      <w:pPr>
        <w:autoSpaceDE w:val="0"/>
        <w:autoSpaceDN w:val="0"/>
        <w:adjustRightInd w:val="0"/>
        <w:jc w:val="center"/>
        <w:rPr>
          <w:rFonts w:ascii="Verdana" w:hAnsi="Verdana" w:cs="Verdana"/>
          <w:color w:val="000000" w:themeColor="text1"/>
          <w:sz w:val="24"/>
          <w:szCs w:val="24"/>
        </w:rPr>
      </w:pPr>
    </w:p>
    <w:p w14:paraId="5CDD2E31" w14:textId="77777777" w:rsidR="00DB0654" w:rsidRPr="00DB0654" w:rsidRDefault="00DB0654" w:rsidP="00DB0654">
      <w:pPr>
        <w:autoSpaceDE w:val="0"/>
        <w:autoSpaceDN w:val="0"/>
        <w:adjustRightInd w:val="0"/>
        <w:jc w:val="center"/>
        <w:rPr>
          <w:rFonts w:ascii="Verdana" w:hAnsi="Verdana" w:cs="Verdana"/>
          <w:color w:val="000000" w:themeColor="text1"/>
          <w:sz w:val="24"/>
          <w:szCs w:val="24"/>
        </w:rPr>
      </w:pPr>
      <w:r w:rsidRPr="00DB0654">
        <w:rPr>
          <w:rFonts w:ascii="Verdana" w:hAnsi="Verdana" w:cs="Verdana"/>
          <w:color w:val="000000" w:themeColor="text1"/>
          <w:sz w:val="24"/>
          <w:szCs w:val="24"/>
        </w:rPr>
        <w:t xml:space="preserve">- </w:t>
      </w:r>
      <w:r w:rsidRPr="00DB0654">
        <w:rPr>
          <w:rFonts w:ascii="Verdana" w:hAnsi="Verdana" w:cs="Verdana"/>
          <w:i/>
          <w:iCs/>
          <w:color w:val="000000" w:themeColor="text1"/>
          <w:sz w:val="24"/>
          <w:szCs w:val="24"/>
        </w:rPr>
        <w:t>Sintesi delle indicazioni operative condivise</w:t>
      </w:r>
      <w:r w:rsidRPr="00DB0654">
        <w:rPr>
          <w:rFonts w:ascii="Verdana" w:hAnsi="Verdana" w:cs="Verdana"/>
          <w:color w:val="000000" w:themeColor="text1"/>
          <w:sz w:val="24"/>
          <w:szCs w:val="24"/>
        </w:rPr>
        <w:t xml:space="preserve"> –</w:t>
      </w:r>
    </w:p>
    <w:p w14:paraId="2C41FD72" w14:textId="77777777" w:rsidR="00DB0654" w:rsidRPr="00DB0654" w:rsidRDefault="00DB0654" w:rsidP="00DB0654">
      <w:pPr>
        <w:autoSpaceDE w:val="0"/>
        <w:autoSpaceDN w:val="0"/>
        <w:adjustRightInd w:val="0"/>
        <w:jc w:val="center"/>
        <w:rPr>
          <w:rFonts w:ascii="Verdana" w:hAnsi="Verdana" w:cs="Verdana"/>
          <w:color w:val="000000" w:themeColor="text1"/>
          <w:sz w:val="24"/>
          <w:szCs w:val="24"/>
        </w:rPr>
      </w:pPr>
    </w:p>
    <w:p w14:paraId="69FA670D" w14:textId="77777777" w:rsidR="00344317" w:rsidRDefault="00344317" w:rsidP="00DB0654">
      <w:pPr>
        <w:autoSpaceDE w:val="0"/>
        <w:autoSpaceDN w:val="0"/>
        <w:adjustRightInd w:val="0"/>
        <w:jc w:val="center"/>
        <w:rPr>
          <w:rFonts w:ascii="Verdana" w:hAnsi="Verdana" w:cs="Verdana"/>
          <w:color w:val="000000" w:themeColor="text1"/>
          <w:sz w:val="24"/>
          <w:szCs w:val="24"/>
        </w:rPr>
      </w:pPr>
    </w:p>
    <w:p w14:paraId="72B52E27" w14:textId="77777777" w:rsidR="00700620" w:rsidRPr="00DB0654" w:rsidRDefault="00700620" w:rsidP="00700620">
      <w:pPr>
        <w:spacing w:after="200" w:line="259" w:lineRule="auto"/>
        <w:contextualSpacing/>
        <w:rPr>
          <w:rFonts w:ascii="Verdana" w:hAnsi="Verdana" w:cstheme="minorBidi"/>
          <w:color w:val="000000" w:themeColor="text1"/>
          <w:sz w:val="24"/>
          <w:szCs w:val="24"/>
        </w:rPr>
      </w:pPr>
    </w:p>
    <w:p w14:paraId="2BB89544" w14:textId="5508895B" w:rsidR="00700620" w:rsidRPr="003C29A1" w:rsidRDefault="009E3012" w:rsidP="00700620">
      <w:pPr>
        <w:numPr>
          <w:ilvl w:val="0"/>
          <w:numId w:val="1"/>
        </w:numPr>
        <w:spacing w:after="200" w:line="259" w:lineRule="auto"/>
        <w:contextualSpacing/>
        <w:rPr>
          <w:rFonts w:ascii="Verdana" w:hAnsi="Verdana" w:cstheme="minorBidi"/>
          <w:color w:val="000000" w:themeColor="text1"/>
          <w:sz w:val="24"/>
          <w:szCs w:val="24"/>
        </w:rPr>
      </w:pPr>
      <w:bookmarkStart w:id="1" w:name="_Hlk191302829"/>
      <w:r>
        <w:rPr>
          <w:rFonts w:ascii="Verdana" w:hAnsi="Verdana" w:cstheme="minorBidi"/>
          <w:b/>
          <w:bCs/>
          <w:color w:val="000000" w:themeColor="text1"/>
          <w:sz w:val="24"/>
          <w:szCs w:val="24"/>
        </w:rPr>
        <w:t>Variazione del legale rappresentante di STP</w:t>
      </w:r>
      <w:r w:rsidR="001274ED">
        <w:rPr>
          <w:rFonts w:ascii="Verdana" w:hAnsi="Verdana" w:cstheme="minorBidi"/>
          <w:b/>
          <w:bCs/>
          <w:color w:val="000000" w:themeColor="text1"/>
          <w:sz w:val="24"/>
          <w:szCs w:val="24"/>
        </w:rPr>
        <w:t>: Gestione deleghe</w:t>
      </w:r>
    </w:p>
    <w:p w14:paraId="6343185C" w14:textId="77777777" w:rsidR="00700620" w:rsidRDefault="00700620" w:rsidP="00700620">
      <w:pPr>
        <w:spacing w:after="200" w:line="259" w:lineRule="auto"/>
        <w:contextualSpacing/>
        <w:rPr>
          <w:rFonts w:ascii="Verdana" w:hAnsi="Verdana" w:cstheme="minorBidi"/>
          <w:b/>
          <w:bCs/>
          <w:color w:val="000000" w:themeColor="text1"/>
          <w:sz w:val="24"/>
          <w:szCs w:val="24"/>
        </w:rPr>
      </w:pPr>
    </w:p>
    <w:p w14:paraId="0771D29C" w14:textId="6EE7A858" w:rsidR="009E3012" w:rsidRPr="009E3012" w:rsidRDefault="001274ED" w:rsidP="009E3012">
      <w:pPr>
        <w:spacing w:after="200" w:line="259" w:lineRule="auto"/>
        <w:contextualSpacing/>
        <w:jc w:val="both"/>
        <w:rPr>
          <w:rFonts w:ascii="Verdana" w:hAnsi="Verdana" w:cstheme="minorBidi"/>
          <w:color w:val="000000" w:themeColor="text1"/>
          <w:sz w:val="24"/>
          <w:szCs w:val="24"/>
        </w:rPr>
      </w:pPr>
      <w:r w:rsidRPr="001274ED">
        <w:rPr>
          <w:rFonts w:ascii="Verdana" w:hAnsi="Verdana" w:cstheme="minorBidi"/>
          <w:color w:val="000000" w:themeColor="text1"/>
          <w:sz w:val="24"/>
          <w:szCs w:val="24"/>
        </w:rPr>
        <w:t>Per</w:t>
      </w:r>
      <w:bookmarkEnd w:id="1"/>
      <w:r w:rsidRPr="001274ED">
        <w:rPr>
          <w:rFonts w:ascii="Verdana" w:hAnsi="Verdana" w:cstheme="minorBidi"/>
          <w:color w:val="000000" w:themeColor="text1"/>
          <w:sz w:val="24"/>
          <w:szCs w:val="24"/>
        </w:rPr>
        <w:t xml:space="preserve"> quanto riguarda le deleghe a STP</w:t>
      </w:r>
      <w:r>
        <w:rPr>
          <w:rFonts w:ascii="Verdana" w:hAnsi="Verdana" w:cstheme="minorBidi"/>
          <w:color w:val="000000" w:themeColor="text1"/>
          <w:sz w:val="24"/>
          <w:szCs w:val="24"/>
        </w:rPr>
        <w:t>, in caso di nomina di un nuovo legale rappresentante, è necessario che</w:t>
      </w:r>
      <w:r w:rsidRPr="001274ED">
        <w:rPr>
          <w:rFonts w:ascii="Verdana" w:hAnsi="Verdana" w:cstheme="minorBidi"/>
          <w:color w:val="000000" w:themeColor="text1"/>
          <w:sz w:val="24"/>
          <w:szCs w:val="24"/>
        </w:rPr>
        <w:t xml:space="preserve"> il nuovo legale rappresentante </w:t>
      </w:r>
      <w:r>
        <w:rPr>
          <w:rFonts w:ascii="Verdana" w:hAnsi="Verdana" w:cstheme="minorBidi"/>
          <w:color w:val="000000" w:themeColor="text1"/>
          <w:sz w:val="24"/>
          <w:szCs w:val="24"/>
        </w:rPr>
        <w:t>venga</w:t>
      </w:r>
      <w:r w:rsidRPr="001274ED">
        <w:rPr>
          <w:rFonts w:ascii="Verdana" w:hAnsi="Verdana" w:cstheme="minorBidi"/>
          <w:color w:val="000000" w:themeColor="text1"/>
          <w:sz w:val="24"/>
          <w:szCs w:val="24"/>
        </w:rPr>
        <w:t xml:space="preserve"> censito nella funzionalità GESTIONE STP di GESTIONE DELEGHE</w:t>
      </w:r>
      <w:r>
        <w:rPr>
          <w:rFonts w:ascii="Verdana" w:hAnsi="Verdana" w:cstheme="minorBidi"/>
          <w:color w:val="000000" w:themeColor="text1"/>
          <w:sz w:val="24"/>
          <w:szCs w:val="24"/>
        </w:rPr>
        <w:t>.</w:t>
      </w:r>
    </w:p>
    <w:p w14:paraId="6687C9DE" w14:textId="0258437C" w:rsidR="008F2FEE" w:rsidRDefault="008F2FEE" w:rsidP="00700620">
      <w:pPr>
        <w:spacing w:after="200" w:line="259" w:lineRule="auto"/>
        <w:contextualSpacing/>
        <w:jc w:val="both"/>
        <w:rPr>
          <w:rFonts w:ascii="Verdana" w:hAnsi="Verdana" w:cstheme="minorBidi"/>
          <w:color w:val="000000" w:themeColor="text1"/>
          <w:sz w:val="24"/>
          <w:szCs w:val="24"/>
        </w:rPr>
      </w:pPr>
    </w:p>
    <w:p w14:paraId="0F21ACDD" w14:textId="19F15256" w:rsidR="008F2FEE" w:rsidRDefault="008F2FEE" w:rsidP="00700620">
      <w:pPr>
        <w:spacing w:after="200" w:line="259" w:lineRule="auto"/>
        <w:contextualSpacing/>
        <w:jc w:val="both"/>
        <w:rPr>
          <w:rFonts w:ascii="Verdana" w:hAnsi="Verdana" w:cstheme="minorBidi"/>
          <w:color w:val="000000" w:themeColor="text1"/>
          <w:sz w:val="24"/>
          <w:szCs w:val="24"/>
        </w:rPr>
      </w:pPr>
    </w:p>
    <w:p w14:paraId="3A1C2BBA" w14:textId="25EB8C2A" w:rsidR="00494BD5" w:rsidRPr="003C29A1" w:rsidRDefault="009E3012" w:rsidP="00494BD5">
      <w:pPr>
        <w:numPr>
          <w:ilvl w:val="0"/>
          <w:numId w:val="1"/>
        </w:numPr>
        <w:spacing w:after="200" w:line="259" w:lineRule="auto"/>
        <w:contextualSpacing/>
        <w:rPr>
          <w:rFonts w:ascii="Verdana" w:hAnsi="Verdana" w:cstheme="minorBidi"/>
          <w:color w:val="000000" w:themeColor="text1"/>
          <w:sz w:val="24"/>
          <w:szCs w:val="24"/>
        </w:rPr>
      </w:pPr>
      <w:bookmarkStart w:id="2" w:name="_Hlk191302480"/>
      <w:r>
        <w:rPr>
          <w:rFonts w:ascii="Verdana" w:hAnsi="Verdana" w:cstheme="minorBidi"/>
          <w:b/>
          <w:bCs/>
          <w:color w:val="000000" w:themeColor="text1"/>
          <w:sz w:val="24"/>
          <w:szCs w:val="24"/>
        </w:rPr>
        <w:t>Minimale orario nei part time verticali a ore</w:t>
      </w:r>
    </w:p>
    <w:p w14:paraId="65C63F62" w14:textId="77777777" w:rsidR="00494BD5" w:rsidRDefault="00494BD5" w:rsidP="00494BD5">
      <w:pPr>
        <w:spacing w:after="200" w:line="259" w:lineRule="auto"/>
        <w:contextualSpacing/>
        <w:rPr>
          <w:rFonts w:ascii="Verdana" w:hAnsi="Verdana" w:cstheme="minorBidi"/>
          <w:b/>
          <w:bCs/>
          <w:color w:val="000000" w:themeColor="text1"/>
          <w:sz w:val="24"/>
          <w:szCs w:val="24"/>
        </w:rPr>
      </w:pPr>
    </w:p>
    <w:bookmarkEnd w:id="0"/>
    <w:p w14:paraId="6AD32472" w14:textId="38D690C3" w:rsidR="009E3012" w:rsidRDefault="001274ED" w:rsidP="009E3012">
      <w:pPr>
        <w:spacing w:after="200" w:line="259" w:lineRule="auto"/>
        <w:contextualSpacing/>
        <w:jc w:val="both"/>
        <w:rPr>
          <w:rFonts w:ascii="Verdana" w:hAnsi="Verdana" w:cstheme="minorBidi"/>
          <w:color w:val="000000" w:themeColor="text1"/>
          <w:sz w:val="24"/>
          <w:szCs w:val="24"/>
        </w:rPr>
      </w:pPr>
      <w:r>
        <w:rPr>
          <w:rFonts w:ascii="Verdana" w:hAnsi="Verdana" w:cstheme="minorBidi"/>
          <w:color w:val="000000" w:themeColor="text1"/>
          <w:sz w:val="24"/>
          <w:szCs w:val="24"/>
        </w:rPr>
        <w:t>L</w:t>
      </w:r>
      <w:r w:rsidRPr="001274ED">
        <w:rPr>
          <w:rFonts w:ascii="Verdana" w:hAnsi="Verdana" w:cstheme="minorBidi"/>
          <w:color w:val="000000" w:themeColor="text1"/>
          <w:sz w:val="24"/>
          <w:szCs w:val="24"/>
        </w:rPr>
        <w:t>a retribu</w:t>
      </w:r>
      <w:bookmarkEnd w:id="2"/>
      <w:r w:rsidRPr="001274ED">
        <w:rPr>
          <w:rFonts w:ascii="Verdana" w:hAnsi="Verdana" w:cstheme="minorBidi"/>
          <w:color w:val="000000" w:themeColor="text1"/>
          <w:sz w:val="24"/>
          <w:szCs w:val="24"/>
        </w:rPr>
        <w:t>zione minima oraria da assumere quale base di calcolo dei contributi si determina rapportando alle giornate di lavoro settimanale ad orario normale il minimale contributivo giornaliero e dividendo l’importo così ottenuto per il numero delle ore di orario normale settimanale previsto dal contratto collettivo nazionale di categoria per i lavoratori a tempo pieno; stabilito il minimale orario, lo stesso va moltiplicato per le ore complessive lavorate nel mese, definendo così il minimale mensile.</w:t>
      </w:r>
    </w:p>
    <w:p w14:paraId="5E514BC5" w14:textId="77777777" w:rsidR="002A1894" w:rsidRDefault="002A1894" w:rsidP="009E3012">
      <w:pPr>
        <w:spacing w:after="200" w:line="259" w:lineRule="auto"/>
        <w:contextualSpacing/>
        <w:jc w:val="both"/>
        <w:rPr>
          <w:rFonts w:ascii="Verdana" w:hAnsi="Verdana" w:cstheme="minorBidi"/>
          <w:color w:val="000000" w:themeColor="text1"/>
          <w:sz w:val="24"/>
          <w:szCs w:val="24"/>
        </w:rPr>
      </w:pPr>
    </w:p>
    <w:p w14:paraId="79910713" w14:textId="048A0584" w:rsidR="002A1894" w:rsidRPr="002A1894" w:rsidRDefault="002A1894" w:rsidP="002A1894">
      <w:pPr>
        <w:numPr>
          <w:ilvl w:val="0"/>
          <w:numId w:val="1"/>
        </w:numPr>
        <w:spacing w:after="200" w:line="259" w:lineRule="auto"/>
        <w:contextualSpacing/>
        <w:rPr>
          <w:rFonts w:ascii="Verdana" w:hAnsi="Verdana" w:cstheme="minorBidi"/>
          <w:b/>
          <w:bCs/>
          <w:color w:val="000000" w:themeColor="text1"/>
          <w:sz w:val="24"/>
          <w:szCs w:val="24"/>
        </w:rPr>
      </w:pPr>
      <w:r w:rsidRPr="002A1894">
        <w:rPr>
          <w:rFonts w:ascii="Verdana" w:hAnsi="Verdana" w:cstheme="minorBidi"/>
          <w:b/>
          <w:bCs/>
          <w:color w:val="000000" w:themeColor="text1"/>
          <w:sz w:val="24"/>
          <w:szCs w:val="24"/>
        </w:rPr>
        <w:t>Deleghe intra gruppo</w:t>
      </w:r>
    </w:p>
    <w:p w14:paraId="4BC96920" w14:textId="77777777" w:rsidR="002A1894" w:rsidRDefault="002A1894" w:rsidP="002A1894">
      <w:pPr>
        <w:spacing w:after="200" w:line="259" w:lineRule="auto"/>
        <w:contextualSpacing/>
        <w:rPr>
          <w:rFonts w:ascii="Verdana" w:hAnsi="Verdana" w:cstheme="minorBidi"/>
          <w:b/>
          <w:bCs/>
          <w:color w:val="000000" w:themeColor="text1"/>
          <w:sz w:val="24"/>
          <w:szCs w:val="24"/>
        </w:rPr>
      </w:pPr>
    </w:p>
    <w:p w14:paraId="2BE18F19" w14:textId="48322E0E" w:rsidR="002A1894" w:rsidRPr="002A1894" w:rsidRDefault="002A1894" w:rsidP="002A1894">
      <w:pPr>
        <w:spacing w:after="200" w:line="259" w:lineRule="auto"/>
        <w:contextualSpacing/>
        <w:jc w:val="both"/>
        <w:rPr>
          <w:rFonts w:ascii="Verdana" w:hAnsi="Verdana" w:cstheme="minorBidi"/>
          <w:color w:val="000000" w:themeColor="text1"/>
          <w:sz w:val="24"/>
          <w:szCs w:val="24"/>
        </w:rPr>
      </w:pPr>
      <w:r w:rsidRPr="002A1894">
        <w:rPr>
          <w:rFonts w:ascii="Verdana" w:hAnsi="Verdana" w:cstheme="minorBidi"/>
          <w:color w:val="000000" w:themeColor="text1"/>
          <w:sz w:val="24"/>
          <w:szCs w:val="24"/>
        </w:rPr>
        <w:t>Per quanto riguarda le deleghe di gruppo</w:t>
      </w:r>
      <w:r w:rsidR="00D36355">
        <w:rPr>
          <w:rFonts w:ascii="Verdana" w:hAnsi="Verdana" w:cstheme="minorBidi"/>
          <w:color w:val="000000" w:themeColor="text1"/>
          <w:sz w:val="24"/>
          <w:szCs w:val="24"/>
        </w:rPr>
        <w:t>,</w:t>
      </w:r>
      <w:r w:rsidRPr="002A1894">
        <w:rPr>
          <w:rFonts w:ascii="Verdana" w:hAnsi="Verdana" w:cstheme="minorBidi"/>
          <w:color w:val="000000" w:themeColor="text1"/>
          <w:sz w:val="24"/>
          <w:szCs w:val="24"/>
        </w:rPr>
        <w:t xml:space="preserve"> il processo prevede che </w:t>
      </w:r>
      <w:r w:rsidR="00D36355">
        <w:rPr>
          <w:rFonts w:ascii="Verdana" w:hAnsi="Verdana" w:cstheme="minorBidi"/>
          <w:color w:val="000000" w:themeColor="text1"/>
          <w:sz w:val="24"/>
          <w:szCs w:val="24"/>
        </w:rPr>
        <w:t>il</w:t>
      </w:r>
      <w:r w:rsidRPr="002A1894">
        <w:rPr>
          <w:rFonts w:ascii="Verdana" w:hAnsi="Verdana" w:cstheme="minorBidi"/>
          <w:color w:val="000000" w:themeColor="text1"/>
          <w:sz w:val="24"/>
          <w:szCs w:val="24"/>
        </w:rPr>
        <w:t xml:space="preserve"> dipendente che deve operare per le aziende del gruppo deve avere la delega a dipendente</w:t>
      </w:r>
      <w:r w:rsidR="00970D9C">
        <w:rPr>
          <w:rFonts w:ascii="Verdana" w:hAnsi="Verdana" w:cstheme="minorBidi"/>
          <w:color w:val="000000" w:themeColor="text1"/>
          <w:sz w:val="24"/>
          <w:szCs w:val="24"/>
        </w:rPr>
        <w:t>,</w:t>
      </w:r>
      <w:r w:rsidRPr="002A1894">
        <w:rPr>
          <w:rFonts w:ascii="Verdana" w:hAnsi="Verdana" w:cstheme="minorBidi"/>
          <w:color w:val="000000" w:themeColor="text1"/>
          <w:sz w:val="24"/>
          <w:szCs w:val="24"/>
        </w:rPr>
        <w:t xml:space="preserve"> attiva sulla posizione contributiva capogruppo. Il legale rappresentante di ogni altra azienda del gruppo deve creare ed attivare una delega di gruppo verso la posizione contributiva capogruppo.</w:t>
      </w:r>
    </w:p>
    <w:p w14:paraId="073B6AE2" w14:textId="77777777" w:rsidR="002A1894" w:rsidRPr="002A1894" w:rsidRDefault="002A1894" w:rsidP="002A1894">
      <w:pPr>
        <w:spacing w:after="200" w:line="259" w:lineRule="auto"/>
        <w:contextualSpacing/>
        <w:jc w:val="both"/>
        <w:rPr>
          <w:rFonts w:ascii="Verdana" w:hAnsi="Verdana" w:cstheme="minorBidi"/>
          <w:color w:val="000000" w:themeColor="text1"/>
          <w:sz w:val="24"/>
          <w:szCs w:val="24"/>
        </w:rPr>
      </w:pPr>
      <w:r w:rsidRPr="002A1894">
        <w:rPr>
          <w:rFonts w:ascii="Verdana" w:hAnsi="Verdana" w:cstheme="minorBidi"/>
          <w:color w:val="000000" w:themeColor="text1"/>
          <w:sz w:val="24"/>
          <w:szCs w:val="24"/>
        </w:rPr>
        <w:t>Per creare la delega di gruppo il legale rappresentante/altro responsabile della posizione contributiva deve andare in GESTIONE DELEGHE (https://servizi2.inps.it/servizi/gss/default.aspx?itemdir=50547), scegliere la funzionalità “Delega a dipendente” e poi l’opzione delega a posizione contributiva del proprio gruppo.</w:t>
      </w:r>
    </w:p>
    <w:p w14:paraId="0D800771" w14:textId="77777777" w:rsidR="002A1894" w:rsidRPr="002A1894" w:rsidRDefault="002A1894" w:rsidP="002A1894">
      <w:pPr>
        <w:spacing w:after="200" w:line="259" w:lineRule="auto"/>
        <w:contextualSpacing/>
        <w:jc w:val="both"/>
        <w:rPr>
          <w:rFonts w:ascii="Verdana" w:hAnsi="Verdana" w:cstheme="minorBidi"/>
          <w:color w:val="000000" w:themeColor="text1"/>
          <w:sz w:val="24"/>
          <w:szCs w:val="24"/>
        </w:rPr>
      </w:pPr>
      <w:r w:rsidRPr="002A1894">
        <w:rPr>
          <w:rFonts w:ascii="Verdana" w:hAnsi="Verdana" w:cstheme="minorBidi"/>
          <w:color w:val="000000" w:themeColor="text1"/>
          <w:sz w:val="24"/>
          <w:szCs w:val="24"/>
        </w:rPr>
        <w:lastRenderedPageBreak/>
        <w:t>Scegliere la posizione contributiva per cui effettuare la delega ad azienda del proprio gruppo.</w:t>
      </w:r>
    </w:p>
    <w:p w14:paraId="03AA3B64" w14:textId="77777777" w:rsidR="002A1894" w:rsidRPr="002A1894" w:rsidRDefault="002A1894" w:rsidP="002A1894">
      <w:pPr>
        <w:spacing w:after="200" w:line="259" w:lineRule="auto"/>
        <w:contextualSpacing/>
        <w:jc w:val="both"/>
        <w:rPr>
          <w:rFonts w:ascii="Verdana" w:hAnsi="Verdana" w:cstheme="minorBidi"/>
          <w:color w:val="000000" w:themeColor="text1"/>
          <w:sz w:val="24"/>
          <w:szCs w:val="24"/>
        </w:rPr>
      </w:pPr>
      <w:r w:rsidRPr="002A1894">
        <w:rPr>
          <w:rFonts w:ascii="Verdana" w:hAnsi="Verdana" w:cstheme="minorBidi"/>
          <w:color w:val="000000" w:themeColor="text1"/>
          <w:sz w:val="24"/>
          <w:szCs w:val="24"/>
        </w:rPr>
        <w:t>Inserire la posizione contributiva da delegare, creare la delega e poi andare nella funzionalità “Dettagli delega/subdelega” ed attivarla.</w:t>
      </w:r>
    </w:p>
    <w:p w14:paraId="34B52DCA" w14:textId="366D4C2F" w:rsidR="002A1894" w:rsidRPr="002A1894" w:rsidRDefault="002A1894" w:rsidP="002A1894">
      <w:pPr>
        <w:spacing w:after="200" w:line="259" w:lineRule="auto"/>
        <w:contextualSpacing/>
        <w:jc w:val="both"/>
        <w:rPr>
          <w:rFonts w:ascii="Verdana" w:hAnsi="Verdana" w:cstheme="minorBidi"/>
          <w:color w:val="000000" w:themeColor="text1"/>
          <w:sz w:val="24"/>
          <w:szCs w:val="24"/>
        </w:rPr>
      </w:pPr>
      <w:r w:rsidRPr="002A1894">
        <w:rPr>
          <w:rFonts w:ascii="Verdana" w:hAnsi="Verdana" w:cstheme="minorBidi"/>
          <w:color w:val="000000" w:themeColor="text1"/>
          <w:sz w:val="24"/>
          <w:szCs w:val="24"/>
        </w:rPr>
        <w:t>Nella posizione contributiva delegata deve però insistere almeno una delega a dipendente</w:t>
      </w:r>
      <w:r w:rsidR="00970D9C">
        <w:rPr>
          <w:rFonts w:ascii="Verdana" w:hAnsi="Verdana" w:cstheme="minorBidi"/>
          <w:color w:val="000000" w:themeColor="text1"/>
          <w:sz w:val="24"/>
          <w:szCs w:val="24"/>
        </w:rPr>
        <w:t>,</w:t>
      </w:r>
      <w:r w:rsidRPr="002A1894">
        <w:rPr>
          <w:rFonts w:ascii="Verdana" w:hAnsi="Verdana" w:cstheme="minorBidi"/>
          <w:color w:val="000000" w:themeColor="text1"/>
          <w:sz w:val="24"/>
          <w:szCs w:val="24"/>
        </w:rPr>
        <w:t xml:space="preserve"> su tutto il soggetto contribuente</w:t>
      </w:r>
      <w:r w:rsidR="00970D9C">
        <w:rPr>
          <w:rFonts w:ascii="Verdana" w:hAnsi="Verdana" w:cstheme="minorBidi"/>
          <w:color w:val="000000" w:themeColor="text1"/>
          <w:sz w:val="24"/>
          <w:szCs w:val="24"/>
        </w:rPr>
        <w:t>,</w:t>
      </w:r>
      <w:r w:rsidRPr="002A1894">
        <w:rPr>
          <w:rFonts w:ascii="Verdana" w:hAnsi="Verdana" w:cstheme="minorBidi"/>
          <w:color w:val="000000" w:themeColor="text1"/>
          <w:sz w:val="24"/>
          <w:szCs w:val="24"/>
        </w:rPr>
        <w:t xml:space="preserve"> attiva.</w:t>
      </w:r>
    </w:p>
    <w:p w14:paraId="2BE758A4" w14:textId="25AA7CA5" w:rsidR="002A1894" w:rsidRDefault="002A1894" w:rsidP="002A1894">
      <w:pPr>
        <w:spacing w:after="200" w:line="259" w:lineRule="auto"/>
        <w:contextualSpacing/>
        <w:jc w:val="both"/>
        <w:rPr>
          <w:rFonts w:ascii="Verdana" w:hAnsi="Verdana" w:cstheme="minorBidi"/>
          <w:color w:val="000000" w:themeColor="text1"/>
          <w:sz w:val="24"/>
          <w:szCs w:val="24"/>
        </w:rPr>
      </w:pPr>
      <w:r w:rsidRPr="002A1894">
        <w:rPr>
          <w:rFonts w:ascii="Verdana" w:hAnsi="Verdana" w:cstheme="minorBidi"/>
          <w:color w:val="000000" w:themeColor="text1"/>
          <w:sz w:val="24"/>
          <w:szCs w:val="24"/>
        </w:rPr>
        <w:t>In ogni caso la delega risulterà nello stato “Attiva” dal giorno seguente la richiesta di attivazione.</w:t>
      </w:r>
    </w:p>
    <w:p w14:paraId="6FA28C85" w14:textId="77777777" w:rsidR="002A1894" w:rsidRDefault="002A1894" w:rsidP="009E3012">
      <w:pPr>
        <w:spacing w:after="200" w:line="259" w:lineRule="auto"/>
        <w:contextualSpacing/>
        <w:jc w:val="both"/>
        <w:rPr>
          <w:rFonts w:ascii="Verdana" w:hAnsi="Verdana" w:cstheme="minorBidi"/>
          <w:color w:val="000000" w:themeColor="text1"/>
          <w:sz w:val="24"/>
          <w:szCs w:val="24"/>
        </w:rPr>
      </w:pPr>
    </w:p>
    <w:p w14:paraId="131453A1" w14:textId="5616C51F" w:rsidR="001918AF" w:rsidRPr="003C29A1" w:rsidRDefault="001918AF" w:rsidP="001918AF">
      <w:pPr>
        <w:numPr>
          <w:ilvl w:val="0"/>
          <w:numId w:val="1"/>
        </w:numPr>
        <w:spacing w:after="200" w:line="259" w:lineRule="auto"/>
        <w:contextualSpacing/>
        <w:rPr>
          <w:rFonts w:ascii="Verdana" w:hAnsi="Verdana" w:cstheme="minorBidi"/>
          <w:color w:val="000000" w:themeColor="text1"/>
          <w:sz w:val="24"/>
          <w:szCs w:val="24"/>
        </w:rPr>
      </w:pPr>
      <w:r w:rsidRPr="001918AF">
        <w:rPr>
          <w:rFonts w:ascii="Verdana" w:hAnsi="Verdana" w:cstheme="minorBidi"/>
          <w:b/>
          <w:bCs/>
          <w:color w:val="000000" w:themeColor="text1"/>
          <w:sz w:val="24"/>
          <w:szCs w:val="24"/>
        </w:rPr>
        <w:t>Riscatto della laurea - Interruzione pagamento in gestione privata e pubblica</w:t>
      </w:r>
      <w:r>
        <w:rPr>
          <w:rFonts w:ascii="Verdana" w:hAnsi="Verdana" w:cstheme="minorBidi"/>
          <w:b/>
          <w:bCs/>
          <w:color w:val="000000" w:themeColor="text1"/>
          <w:sz w:val="24"/>
          <w:szCs w:val="24"/>
        </w:rPr>
        <w:t xml:space="preserve"> </w:t>
      </w:r>
    </w:p>
    <w:p w14:paraId="0DD8FDD1" w14:textId="77777777" w:rsidR="001918AF" w:rsidRDefault="001918AF" w:rsidP="001918AF">
      <w:pPr>
        <w:spacing w:after="200" w:line="259" w:lineRule="auto"/>
        <w:contextualSpacing/>
        <w:rPr>
          <w:rFonts w:ascii="Verdana" w:hAnsi="Verdana" w:cstheme="minorBidi"/>
          <w:b/>
          <w:bCs/>
          <w:color w:val="000000" w:themeColor="text1"/>
          <w:sz w:val="24"/>
          <w:szCs w:val="24"/>
        </w:rPr>
      </w:pPr>
    </w:p>
    <w:p w14:paraId="73A49DA2" w14:textId="77777777" w:rsidR="002A1894" w:rsidRPr="001918AF" w:rsidRDefault="002A1894" w:rsidP="002A1894">
      <w:pPr>
        <w:spacing w:after="200" w:line="259" w:lineRule="auto"/>
        <w:contextualSpacing/>
        <w:jc w:val="both"/>
        <w:rPr>
          <w:rFonts w:ascii="Verdana" w:hAnsi="Verdana" w:cstheme="minorBidi"/>
          <w:sz w:val="24"/>
          <w:szCs w:val="24"/>
        </w:rPr>
      </w:pPr>
      <w:r w:rsidRPr="001918AF">
        <w:rPr>
          <w:rFonts w:ascii="Verdana" w:hAnsi="Verdana" w:cstheme="minorBidi"/>
          <w:sz w:val="24"/>
          <w:szCs w:val="24"/>
          <w:u w:val="single"/>
        </w:rPr>
        <w:t>Gestione Privata</w:t>
      </w:r>
      <w:r w:rsidRPr="001918AF">
        <w:rPr>
          <w:rFonts w:ascii="Verdana" w:hAnsi="Verdana" w:cstheme="minorBidi"/>
          <w:sz w:val="24"/>
          <w:szCs w:val="24"/>
        </w:rPr>
        <w:t>: per il versamento delle rate dei riscatti in gestione privata, la normativa prevede la tolleranza fino a 5 ritardi entro i 30 giorni dalla scadenza. Se invece il ritardo supera i 30 giorni la pratica decade, anche se si tratta del primo o dell’unico ritardo.</w:t>
      </w:r>
    </w:p>
    <w:p w14:paraId="0D404BA3" w14:textId="77777777" w:rsidR="002A1894" w:rsidRPr="001918AF" w:rsidRDefault="002A1894" w:rsidP="002A1894">
      <w:pPr>
        <w:spacing w:after="200" w:line="259" w:lineRule="auto"/>
        <w:contextualSpacing/>
        <w:jc w:val="both"/>
        <w:rPr>
          <w:rFonts w:ascii="Verdana" w:hAnsi="Verdana" w:cstheme="minorBidi"/>
          <w:sz w:val="24"/>
          <w:szCs w:val="24"/>
        </w:rPr>
      </w:pPr>
    </w:p>
    <w:p w14:paraId="76A26263" w14:textId="77777777" w:rsidR="002A1894" w:rsidRPr="001918AF" w:rsidRDefault="002A1894" w:rsidP="002A1894">
      <w:pPr>
        <w:spacing w:after="200" w:line="259" w:lineRule="auto"/>
        <w:contextualSpacing/>
        <w:jc w:val="both"/>
        <w:rPr>
          <w:rFonts w:ascii="Verdana" w:hAnsi="Verdana" w:cstheme="minorBidi"/>
          <w:sz w:val="24"/>
          <w:szCs w:val="24"/>
        </w:rPr>
      </w:pPr>
      <w:r w:rsidRPr="001918AF">
        <w:rPr>
          <w:rFonts w:ascii="Verdana" w:hAnsi="Verdana" w:cstheme="minorBidi"/>
          <w:sz w:val="24"/>
          <w:szCs w:val="24"/>
          <w:u w:val="single"/>
        </w:rPr>
        <w:t>Gestione pubblica</w:t>
      </w:r>
      <w:r w:rsidRPr="001918AF">
        <w:rPr>
          <w:rFonts w:ascii="Verdana" w:hAnsi="Verdana" w:cstheme="minorBidi"/>
          <w:sz w:val="24"/>
          <w:szCs w:val="24"/>
        </w:rPr>
        <w:t xml:space="preserve">: La possibilità di continuare a pagare, su pensione, il riscatto dipende dalla tipologia di pensione. Se si tratta di “pensione in cumulo” per gli iscritti alle casse CTPS, CPDEL, CPS, CPUG, CPI, nelle ipotesi di pagamento rateale in corso, affinché il periodo da riscatto sia interamente valutato, i soggetti richiedenti dovranno corrispondere l’onere residuo in unica soluzione; per le altre tipologie di pensione, la rata può proseguire sul trattamento pensionistico. </w:t>
      </w:r>
    </w:p>
    <w:p w14:paraId="4EA55651" w14:textId="77777777" w:rsidR="002A1894" w:rsidRPr="001918AF" w:rsidRDefault="002A1894" w:rsidP="002A1894">
      <w:pPr>
        <w:spacing w:after="200" w:line="259" w:lineRule="auto"/>
        <w:contextualSpacing/>
        <w:jc w:val="both"/>
        <w:rPr>
          <w:rFonts w:ascii="Verdana" w:hAnsi="Verdana" w:cstheme="minorBidi"/>
          <w:sz w:val="24"/>
          <w:szCs w:val="24"/>
        </w:rPr>
      </w:pPr>
    </w:p>
    <w:p w14:paraId="37ED4010" w14:textId="77777777" w:rsidR="002A1894" w:rsidRPr="001918AF" w:rsidRDefault="002A1894" w:rsidP="002A1894">
      <w:pPr>
        <w:spacing w:after="200" w:line="259" w:lineRule="auto"/>
        <w:contextualSpacing/>
        <w:jc w:val="both"/>
        <w:rPr>
          <w:rFonts w:ascii="Verdana" w:hAnsi="Verdana" w:cstheme="minorBidi"/>
          <w:sz w:val="24"/>
          <w:szCs w:val="24"/>
        </w:rPr>
      </w:pPr>
      <w:r w:rsidRPr="001918AF">
        <w:rPr>
          <w:rFonts w:ascii="Verdana" w:hAnsi="Verdana" w:cstheme="minorBidi"/>
          <w:sz w:val="24"/>
          <w:szCs w:val="24"/>
        </w:rPr>
        <w:t>Per l’interruzione del pagamento del riscatto, i dipendenti pubblici devono inoltrare la domanda telematica, comunicando l’ultima rata trattenuta sullo stipendio, previo accordo con il datore di lavoro. In tal modo, l’estratto verrà implementato con i periodi riscattati in relazione ai pagamenti eseguiti.</w:t>
      </w:r>
    </w:p>
    <w:p w14:paraId="23BF691A" w14:textId="77777777" w:rsidR="002A1894" w:rsidRPr="001918AF" w:rsidRDefault="002A1894" w:rsidP="002A1894">
      <w:pPr>
        <w:spacing w:after="200" w:line="259" w:lineRule="auto"/>
        <w:contextualSpacing/>
        <w:jc w:val="both"/>
        <w:rPr>
          <w:rFonts w:ascii="Verdana" w:hAnsi="Verdana" w:cstheme="minorBidi"/>
          <w:sz w:val="24"/>
          <w:szCs w:val="24"/>
        </w:rPr>
      </w:pPr>
    </w:p>
    <w:p w14:paraId="012FC245" w14:textId="6992116F" w:rsidR="002A1894" w:rsidRPr="001918AF" w:rsidRDefault="002A1894" w:rsidP="002A1894">
      <w:pPr>
        <w:spacing w:after="200" w:line="259" w:lineRule="auto"/>
        <w:contextualSpacing/>
        <w:jc w:val="both"/>
        <w:rPr>
          <w:rFonts w:ascii="Verdana" w:hAnsi="Verdana" w:cstheme="minorBidi"/>
          <w:sz w:val="24"/>
          <w:szCs w:val="24"/>
        </w:rPr>
      </w:pPr>
      <w:r w:rsidRPr="001918AF">
        <w:rPr>
          <w:rFonts w:ascii="Verdana" w:hAnsi="Verdana" w:cstheme="minorBidi"/>
          <w:sz w:val="24"/>
          <w:szCs w:val="24"/>
        </w:rPr>
        <w:t>Per la richiesta di estinzione anticipata e contestuale determinazione dell’importo dell’onere residuo, il dipendente pubblico dovrà inviare una pec all’indirizzo della sede provinciale competente per comunicare la volontà di interrompere il pagamento del riscatto con trattenuta sullo stipendio, previa comunicazione al proprio datore di lavoro.</w:t>
      </w:r>
    </w:p>
    <w:p w14:paraId="203C90E8" w14:textId="01E73F11" w:rsidR="002A1894" w:rsidRPr="001918AF" w:rsidRDefault="002A1894" w:rsidP="002A1894">
      <w:pPr>
        <w:spacing w:after="200" w:line="259" w:lineRule="auto"/>
        <w:contextualSpacing/>
        <w:jc w:val="both"/>
        <w:rPr>
          <w:rFonts w:ascii="Verdana" w:hAnsi="Verdana" w:cstheme="minorBidi"/>
          <w:sz w:val="24"/>
          <w:szCs w:val="24"/>
        </w:rPr>
      </w:pPr>
      <w:r w:rsidRPr="001918AF">
        <w:rPr>
          <w:rFonts w:ascii="Verdana" w:hAnsi="Verdana" w:cstheme="minorBidi"/>
          <w:sz w:val="24"/>
          <w:szCs w:val="24"/>
        </w:rPr>
        <w:t xml:space="preserve">Per gli EELL, l’interruzione della trattenuta sullo stipendio viene effettuata direttamente dal datore di lavoro; </w:t>
      </w:r>
      <w:r w:rsidR="001918AF" w:rsidRPr="001918AF">
        <w:rPr>
          <w:rFonts w:ascii="Verdana" w:hAnsi="Verdana" w:cstheme="minorBidi"/>
          <w:sz w:val="24"/>
          <w:szCs w:val="24"/>
        </w:rPr>
        <w:t>invece,</w:t>
      </w:r>
      <w:r w:rsidRPr="001918AF">
        <w:rPr>
          <w:rFonts w:ascii="Verdana" w:hAnsi="Verdana" w:cstheme="minorBidi"/>
          <w:sz w:val="24"/>
          <w:szCs w:val="24"/>
        </w:rPr>
        <w:t xml:space="preserve"> per i dipendenti statali, la Ragioneria Territoriale dello Stato, resa edotta dal datore di lavoro, provvederà all’interruzione della trattenuta sullo stipendio, confermandola sia al datore di lavoro che all’INPS, chiamata a determinare e a comunicare all’interessato l’onere residuo.</w:t>
      </w:r>
    </w:p>
    <w:p w14:paraId="4E8FE4D4" w14:textId="77777777" w:rsidR="002A1894" w:rsidRPr="002A1894" w:rsidRDefault="002A1894" w:rsidP="002A1894">
      <w:pPr>
        <w:spacing w:after="200" w:line="259" w:lineRule="auto"/>
        <w:contextualSpacing/>
        <w:jc w:val="both"/>
        <w:rPr>
          <w:rFonts w:ascii="Verdana" w:hAnsi="Verdana" w:cstheme="minorBidi"/>
          <w:color w:val="00B050"/>
          <w:sz w:val="24"/>
          <w:szCs w:val="24"/>
        </w:rPr>
      </w:pPr>
    </w:p>
    <w:p w14:paraId="321BD53F" w14:textId="1B1AC521" w:rsidR="001918AF" w:rsidRPr="002A1894" w:rsidRDefault="001918AF" w:rsidP="001918AF">
      <w:pPr>
        <w:numPr>
          <w:ilvl w:val="0"/>
          <w:numId w:val="1"/>
        </w:numPr>
        <w:spacing w:after="200" w:line="259" w:lineRule="auto"/>
        <w:contextualSpacing/>
        <w:rPr>
          <w:rFonts w:ascii="Verdana" w:hAnsi="Verdana" w:cstheme="minorBidi"/>
          <w:b/>
          <w:bCs/>
          <w:color w:val="000000" w:themeColor="text1"/>
          <w:sz w:val="24"/>
          <w:szCs w:val="24"/>
        </w:rPr>
      </w:pPr>
      <w:r w:rsidRPr="001918AF">
        <w:rPr>
          <w:rFonts w:ascii="Verdana" w:hAnsi="Verdana" w:cstheme="minorBidi"/>
          <w:b/>
          <w:bCs/>
          <w:color w:val="000000" w:themeColor="text1"/>
          <w:sz w:val="24"/>
          <w:szCs w:val="24"/>
        </w:rPr>
        <w:lastRenderedPageBreak/>
        <w:t xml:space="preserve">Ecocert pubblici </w:t>
      </w:r>
    </w:p>
    <w:p w14:paraId="70D0AECC" w14:textId="77777777" w:rsidR="001918AF" w:rsidRDefault="001918AF" w:rsidP="001918AF">
      <w:pPr>
        <w:spacing w:after="200" w:line="259" w:lineRule="auto"/>
        <w:contextualSpacing/>
        <w:rPr>
          <w:rFonts w:ascii="Verdana" w:hAnsi="Verdana" w:cstheme="minorBidi"/>
          <w:b/>
          <w:bCs/>
          <w:color w:val="000000" w:themeColor="text1"/>
          <w:sz w:val="24"/>
          <w:szCs w:val="24"/>
        </w:rPr>
      </w:pPr>
    </w:p>
    <w:p w14:paraId="353ACAEF" w14:textId="16C8B5E7" w:rsidR="002A1894" w:rsidRPr="001918AF" w:rsidRDefault="001918AF" w:rsidP="002A1894">
      <w:pPr>
        <w:spacing w:after="200" w:line="259" w:lineRule="auto"/>
        <w:contextualSpacing/>
        <w:jc w:val="both"/>
        <w:rPr>
          <w:rFonts w:ascii="Verdana" w:hAnsi="Verdana" w:cstheme="minorBidi"/>
          <w:sz w:val="24"/>
          <w:szCs w:val="24"/>
        </w:rPr>
      </w:pPr>
      <w:r w:rsidRPr="001918AF">
        <w:rPr>
          <w:rFonts w:ascii="Verdana" w:hAnsi="Verdana" w:cstheme="minorBidi"/>
          <w:sz w:val="24"/>
          <w:szCs w:val="24"/>
        </w:rPr>
        <w:t>I</w:t>
      </w:r>
      <w:r w:rsidR="002A1894" w:rsidRPr="001918AF">
        <w:rPr>
          <w:rFonts w:ascii="Verdana" w:hAnsi="Verdana" w:cstheme="minorBidi"/>
          <w:sz w:val="24"/>
          <w:szCs w:val="24"/>
        </w:rPr>
        <w:t xml:space="preserve">l servizio di richiesta di ecocert plurimo è attivo; nella richiesta occorre indicare le gestioni interessate, compresa la gestione pubblica. </w:t>
      </w:r>
    </w:p>
    <w:p w14:paraId="3BFD2C97" w14:textId="20975B30" w:rsidR="002A1894" w:rsidRPr="001918AF" w:rsidRDefault="002A1894" w:rsidP="002A1894">
      <w:pPr>
        <w:spacing w:after="200" w:line="259" w:lineRule="auto"/>
        <w:contextualSpacing/>
        <w:jc w:val="both"/>
        <w:rPr>
          <w:rFonts w:ascii="Verdana" w:hAnsi="Verdana" w:cstheme="minorBidi"/>
          <w:sz w:val="24"/>
          <w:szCs w:val="24"/>
        </w:rPr>
      </w:pPr>
      <w:r w:rsidRPr="001918AF">
        <w:rPr>
          <w:rFonts w:ascii="Verdana" w:hAnsi="Verdana" w:cstheme="minorBidi"/>
          <w:sz w:val="24"/>
          <w:szCs w:val="24"/>
        </w:rPr>
        <w:t xml:space="preserve">In quest’ultimo caso, la certificazione </w:t>
      </w:r>
      <w:r w:rsidR="001918AF" w:rsidRPr="001918AF">
        <w:rPr>
          <w:rFonts w:ascii="Verdana" w:hAnsi="Verdana" w:cstheme="minorBidi"/>
          <w:sz w:val="24"/>
          <w:szCs w:val="24"/>
        </w:rPr>
        <w:t>del periodo</w:t>
      </w:r>
      <w:r w:rsidRPr="001918AF">
        <w:rPr>
          <w:rFonts w:ascii="Verdana" w:hAnsi="Verdana" w:cstheme="minorBidi"/>
          <w:sz w:val="24"/>
          <w:szCs w:val="24"/>
        </w:rPr>
        <w:t xml:space="preserve"> va gestita di concerto con gli enti datori di lavoro.</w:t>
      </w:r>
    </w:p>
    <w:p w14:paraId="7EAADCF0" w14:textId="77777777" w:rsidR="001274ED" w:rsidRPr="001918AF" w:rsidRDefault="001274ED" w:rsidP="001274ED">
      <w:pPr>
        <w:spacing w:after="200" w:line="259" w:lineRule="auto"/>
        <w:contextualSpacing/>
        <w:jc w:val="both"/>
        <w:rPr>
          <w:rFonts w:ascii="Verdana" w:hAnsi="Verdana" w:cstheme="minorBidi"/>
          <w:sz w:val="24"/>
          <w:szCs w:val="24"/>
        </w:rPr>
      </w:pPr>
    </w:p>
    <w:p w14:paraId="5867435E" w14:textId="23013A94" w:rsidR="001918AF" w:rsidRPr="002A1894" w:rsidRDefault="001918AF" w:rsidP="001918AF">
      <w:pPr>
        <w:numPr>
          <w:ilvl w:val="0"/>
          <w:numId w:val="1"/>
        </w:numPr>
        <w:spacing w:after="200" w:line="259" w:lineRule="auto"/>
        <w:contextualSpacing/>
        <w:rPr>
          <w:rFonts w:ascii="Verdana" w:hAnsi="Verdana" w:cstheme="minorBidi"/>
          <w:b/>
          <w:bCs/>
          <w:color w:val="000000" w:themeColor="text1"/>
          <w:sz w:val="24"/>
          <w:szCs w:val="24"/>
        </w:rPr>
      </w:pPr>
      <w:bookmarkStart w:id="3" w:name="_Hlk191303275"/>
      <w:r>
        <w:rPr>
          <w:rFonts w:ascii="Verdana" w:hAnsi="Verdana" w:cstheme="minorBidi"/>
          <w:b/>
          <w:bCs/>
          <w:color w:val="000000" w:themeColor="text1"/>
          <w:sz w:val="24"/>
          <w:szCs w:val="24"/>
        </w:rPr>
        <w:t>Stati delle note di rettifica</w:t>
      </w:r>
    </w:p>
    <w:p w14:paraId="0C903F80" w14:textId="77777777" w:rsidR="001918AF" w:rsidRDefault="001918AF" w:rsidP="001918AF">
      <w:pPr>
        <w:spacing w:after="200" w:line="259" w:lineRule="auto"/>
        <w:contextualSpacing/>
        <w:rPr>
          <w:rFonts w:ascii="Verdana" w:hAnsi="Verdana" w:cstheme="minorBidi"/>
          <w:b/>
          <w:bCs/>
          <w:color w:val="000000" w:themeColor="text1"/>
          <w:sz w:val="24"/>
          <w:szCs w:val="24"/>
        </w:rPr>
      </w:pPr>
    </w:p>
    <w:p w14:paraId="646E7458" w14:textId="7BF96F2D" w:rsidR="001274ED" w:rsidRPr="001918AF" w:rsidRDefault="001918AF" w:rsidP="001274ED">
      <w:pPr>
        <w:spacing w:after="200" w:line="259" w:lineRule="auto"/>
        <w:contextualSpacing/>
        <w:jc w:val="both"/>
        <w:rPr>
          <w:rFonts w:ascii="Verdana" w:hAnsi="Verdana" w:cstheme="minorBidi"/>
          <w:sz w:val="24"/>
          <w:szCs w:val="24"/>
        </w:rPr>
      </w:pPr>
      <w:r w:rsidRPr="001918AF">
        <w:rPr>
          <w:rFonts w:ascii="Verdana" w:hAnsi="Verdana" w:cstheme="minorBidi"/>
          <w:sz w:val="24"/>
          <w:szCs w:val="24"/>
        </w:rPr>
        <w:t>L</w:t>
      </w:r>
      <w:r w:rsidR="001274ED" w:rsidRPr="001918AF">
        <w:rPr>
          <w:rFonts w:ascii="Verdana" w:hAnsi="Verdana" w:cstheme="minorBidi"/>
          <w:sz w:val="24"/>
          <w:szCs w:val="24"/>
        </w:rPr>
        <w:t xml:space="preserve">e note </w:t>
      </w:r>
      <w:bookmarkEnd w:id="3"/>
      <w:r w:rsidR="001274ED" w:rsidRPr="001918AF">
        <w:rPr>
          <w:rFonts w:ascii="Verdana" w:hAnsi="Verdana" w:cstheme="minorBidi"/>
          <w:sz w:val="24"/>
          <w:szCs w:val="24"/>
        </w:rPr>
        <w:t xml:space="preserve">di rettifica si possono consultare nel Portale Contributivo al relativo TAG, </w:t>
      </w:r>
      <w:r w:rsidRPr="001918AF">
        <w:rPr>
          <w:rFonts w:ascii="Verdana" w:hAnsi="Verdana" w:cstheme="minorBidi"/>
          <w:sz w:val="24"/>
          <w:szCs w:val="24"/>
        </w:rPr>
        <w:t xml:space="preserve">e </w:t>
      </w:r>
      <w:r w:rsidR="001274ED" w:rsidRPr="001918AF">
        <w:rPr>
          <w:rFonts w:ascii="Verdana" w:hAnsi="Verdana" w:cstheme="minorBidi"/>
          <w:sz w:val="24"/>
          <w:szCs w:val="24"/>
        </w:rPr>
        <w:t>possono presentare diversi stati:</w:t>
      </w:r>
    </w:p>
    <w:p w14:paraId="7C724183" w14:textId="52204366" w:rsidR="001274ED" w:rsidRPr="001918AF" w:rsidRDefault="00970D9C" w:rsidP="001918AF">
      <w:pPr>
        <w:pStyle w:val="Paragrafoelenco"/>
        <w:numPr>
          <w:ilvl w:val="0"/>
          <w:numId w:val="7"/>
        </w:numPr>
        <w:spacing w:after="200" w:line="259" w:lineRule="auto"/>
        <w:jc w:val="both"/>
        <w:rPr>
          <w:rFonts w:ascii="Verdana" w:hAnsi="Verdana" w:cstheme="minorBidi"/>
          <w:sz w:val="24"/>
          <w:szCs w:val="24"/>
        </w:rPr>
      </w:pPr>
      <w:r w:rsidRPr="001918AF">
        <w:rPr>
          <w:rFonts w:ascii="Verdana" w:hAnsi="Verdana" w:cstheme="minorBidi"/>
          <w:sz w:val="24"/>
          <w:szCs w:val="24"/>
        </w:rPr>
        <w:t>E</w:t>
      </w:r>
      <w:r w:rsidR="001274ED" w:rsidRPr="001918AF">
        <w:rPr>
          <w:rFonts w:ascii="Verdana" w:hAnsi="Verdana" w:cstheme="minorBidi"/>
          <w:sz w:val="24"/>
          <w:szCs w:val="24"/>
        </w:rPr>
        <w:t>messa</w:t>
      </w:r>
      <w:r>
        <w:rPr>
          <w:rFonts w:ascii="Verdana" w:hAnsi="Verdana" w:cstheme="minorBidi"/>
          <w:sz w:val="24"/>
          <w:szCs w:val="24"/>
        </w:rPr>
        <w:t>:</w:t>
      </w:r>
      <w:r w:rsidR="001274ED" w:rsidRPr="001918AF">
        <w:rPr>
          <w:rFonts w:ascii="Verdana" w:hAnsi="Verdana" w:cstheme="minorBidi"/>
          <w:sz w:val="24"/>
          <w:szCs w:val="24"/>
        </w:rPr>
        <w:t xml:space="preserve"> è appena stata creata </w:t>
      </w:r>
    </w:p>
    <w:p w14:paraId="46482DDC" w14:textId="4FE353E7" w:rsidR="001274ED" w:rsidRPr="001918AF" w:rsidRDefault="00970D9C" w:rsidP="001918AF">
      <w:pPr>
        <w:pStyle w:val="Paragrafoelenco"/>
        <w:numPr>
          <w:ilvl w:val="0"/>
          <w:numId w:val="7"/>
        </w:numPr>
        <w:spacing w:after="200" w:line="259" w:lineRule="auto"/>
        <w:jc w:val="both"/>
        <w:rPr>
          <w:rFonts w:ascii="Verdana" w:hAnsi="Verdana" w:cstheme="minorBidi"/>
          <w:sz w:val="24"/>
          <w:szCs w:val="24"/>
        </w:rPr>
      </w:pPr>
      <w:r w:rsidRPr="001918AF">
        <w:rPr>
          <w:rFonts w:ascii="Verdana" w:hAnsi="Verdana" w:cstheme="minorBidi"/>
          <w:sz w:val="24"/>
          <w:szCs w:val="24"/>
        </w:rPr>
        <w:t>I</w:t>
      </w:r>
      <w:r w:rsidR="001274ED" w:rsidRPr="001918AF">
        <w:rPr>
          <w:rFonts w:ascii="Verdana" w:hAnsi="Verdana" w:cstheme="minorBidi"/>
          <w:sz w:val="24"/>
          <w:szCs w:val="24"/>
        </w:rPr>
        <w:t>nviata</w:t>
      </w:r>
      <w:r>
        <w:rPr>
          <w:rFonts w:ascii="Verdana" w:hAnsi="Verdana" w:cstheme="minorBidi"/>
          <w:sz w:val="24"/>
          <w:szCs w:val="24"/>
        </w:rPr>
        <w:t>:</w:t>
      </w:r>
      <w:r w:rsidR="001274ED" w:rsidRPr="001918AF">
        <w:rPr>
          <w:rFonts w:ascii="Verdana" w:hAnsi="Verdana" w:cstheme="minorBidi"/>
          <w:sz w:val="24"/>
          <w:szCs w:val="24"/>
        </w:rPr>
        <w:t xml:space="preserve"> è stata spedita all’azienda e l’invio è consultabile nel cassetto previdenziale in comunicazione bidirezionale</w:t>
      </w:r>
    </w:p>
    <w:p w14:paraId="5A1420B8" w14:textId="6B6182F5" w:rsidR="001274ED" w:rsidRPr="001918AF" w:rsidRDefault="00970D9C" w:rsidP="001918AF">
      <w:pPr>
        <w:pStyle w:val="Paragrafoelenco"/>
        <w:numPr>
          <w:ilvl w:val="0"/>
          <w:numId w:val="7"/>
        </w:numPr>
        <w:spacing w:after="200" w:line="259" w:lineRule="auto"/>
        <w:jc w:val="both"/>
        <w:rPr>
          <w:rFonts w:ascii="Verdana" w:hAnsi="Verdana" w:cstheme="minorBidi"/>
          <w:sz w:val="24"/>
          <w:szCs w:val="24"/>
        </w:rPr>
      </w:pPr>
      <w:r w:rsidRPr="001918AF">
        <w:rPr>
          <w:rFonts w:ascii="Verdana" w:hAnsi="Verdana" w:cstheme="minorBidi"/>
          <w:sz w:val="24"/>
          <w:szCs w:val="24"/>
        </w:rPr>
        <w:t>N</w:t>
      </w:r>
      <w:r w:rsidR="001274ED" w:rsidRPr="001918AF">
        <w:rPr>
          <w:rFonts w:ascii="Verdana" w:hAnsi="Verdana" w:cstheme="minorBidi"/>
          <w:sz w:val="24"/>
          <w:szCs w:val="24"/>
        </w:rPr>
        <w:t>otificata</w:t>
      </w:r>
      <w:r>
        <w:rPr>
          <w:rFonts w:ascii="Verdana" w:hAnsi="Verdana" w:cstheme="minorBidi"/>
          <w:sz w:val="24"/>
          <w:szCs w:val="24"/>
        </w:rPr>
        <w:t>:</w:t>
      </w:r>
      <w:r w:rsidR="001274ED" w:rsidRPr="001918AF">
        <w:rPr>
          <w:rFonts w:ascii="Verdana" w:hAnsi="Verdana" w:cstheme="minorBidi"/>
          <w:sz w:val="24"/>
          <w:szCs w:val="24"/>
        </w:rPr>
        <w:t xml:space="preserve"> notificata all’azienda</w:t>
      </w:r>
    </w:p>
    <w:p w14:paraId="51381DD7" w14:textId="20ECA04E" w:rsidR="001274ED" w:rsidRPr="001918AF" w:rsidRDefault="00970D9C" w:rsidP="001918AF">
      <w:pPr>
        <w:pStyle w:val="Paragrafoelenco"/>
        <w:numPr>
          <w:ilvl w:val="0"/>
          <w:numId w:val="7"/>
        </w:numPr>
        <w:spacing w:after="200" w:line="259" w:lineRule="auto"/>
        <w:jc w:val="both"/>
        <w:rPr>
          <w:rFonts w:ascii="Verdana" w:hAnsi="Verdana" w:cstheme="minorBidi"/>
          <w:sz w:val="24"/>
          <w:szCs w:val="24"/>
        </w:rPr>
      </w:pPr>
      <w:r w:rsidRPr="001918AF">
        <w:rPr>
          <w:rFonts w:ascii="Verdana" w:hAnsi="Verdana" w:cstheme="minorBidi"/>
          <w:sz w:val="24"/>
          <w:szCs w:val="24"/>
        </w:rPr>
        <w:t>D</w:t>
      </w:r>
      <w:r w:rsidR="001274ED" w:rsidRPr="001918AF">
        <w:rPr>
          <w:rFonts w:ascii="Verdana" w:hAnsi="Verdana" w:cstheme="minorBidi"/>
          <w:sz w:val="24"/>
          <w:szCs w:val="24"/>
        </w:rPr>
        <w:t>efinita</w:t>
      </w:r>
      <w:r>
        <w:rPr>
          <w:rFonts w:ascii="Verdana" w:hAnsi="Verdana" w:cstheme="minorBidi"/>
          <w:sz w:val="24"/>
          <w:szCs w:val="24"/>
        </w:rPr>
        <w:t xml:space="preserve">: </w:t>
      </w:r>
      <w:r w:rsidR="001274ED" w:rsidRPr="001918AF">
        <w:rPr>
          <w:rFonts w:ascii="Verdana" w:hAnsi="Verdana" w:cstheme="minorBidi"/>
          <w:sz w:val="24"/>
          <w:szCs w:val="24"/>
        </w:rPr>
        <w:t>se passiva, il credito dell’azienda sarà visualizzabile nel Portale Contributivo al nuovo TAG “debiti”</w:t>
      </w:r>
      <w:r>
        <w:rPr>
          <w:rFonts w:ascii="Verdana" w:hAnsi="Verdana" w:cstheme="minorBidi"/>
          <w:sz w:val="24"/>
          <w:szCs w:val="24"/>
        </w:rPr>
        <w:t>;</w:t>
      </w:r>
      <w:r w:rsidR="001274ED" w:rsidRPr="001918AF">
        <w:rPr>
          <w:rFonts w:ascii="Verdana" w:hAnsi="Verdana" w:cstheme="minorBidi"/>
          <w:sz w:val="24"/>
          <w:szCs w:val="24"/>
        </w:rPr>
        <w:t xml:space="preserve"> se attiva e non pagata, verrà aperta un’inadempienza.</w:t>
      </w:r>
    </w:p>
    <w:p w14:paraId="70DDA9A1" w14:textId="636BDD6E" w:rsidR="001274ED" w:rsidRPr="001918AF" w:rsidRDefault="001274ED" w:rsidP="001918AF">
      <w:pPr>
        <w:pStyle w:val="Paragrafoelenco"/>
        <w:numPr>
          <w:ilvl w:val="0"/>
          <w:numId w:val="7"/>
        </w:numPr>
        <w:spacing w:after="200" w:line="259" w:lineRule="auto"/>
        <w:jc w:val="both"/>
        <w:rPr>
          <w:rFonts w:ascii="Verdana" w:hAnsi="Verdana" w:cstheme="minorBidi"/>
          <w:sz w:val="24"/>
          <w:szCs w:val="24"/>
        </w:rPr>
      </w:pPr>
      <w:r w:rsidRPr="001918AF">
        <w:rPr>
          <w:rFonts w:ascii="Verdana" w:hAnsi="Verdana" w:cstheme="minorBidi"/>
          <w:sz w:val="24"/>
          <w:szCs w:val="24"/>
        </w:rPr>
        <w:t>Riciclata</w:t>
      </w:r>
      <w:r w:rsidR="00970D9C">
        <w:rPr>
          <w:rFonts w:ascii="Verdana" w:hAnsi="Verdana" w:cstheme="minorBidi"/>
          <w:sz w:val="24"/>
          <w:szCs w:val="24"/>
        </w:rPr>
        <w:t>:</w:t>
      </w:r>
      <w:r w:rsidRPr="001918AF">
        <w:rPr>
          <w:rFonts w:ascii="Verdana" w:hAnsi="Verdana" w:cstheme="minorBidi"/>
          <w:sz w:val="24"/>
          <w:szCs w:val="24"/>
        </w:rPr>
        <w:t xml:space="preserve"> quando vengono esposte nella denuncia delle agevolazioni, la denuncia viene messa in stan</w:t>
      </w:r>
      <w:r w:rsidR="001C694C">
        <w:rPr>
          <w:rFonts w:ascii="Verdana" w:hAnsi="Verdana" w:cstheme="minorBidi"/>
          <w:sz w:val="24"/>
          <w:szCs w:val="24"/>
        </w:rPr>
        <w:t>d</w:t>
      </w:r>
      <w:r w:rsidRPr="001918AF">
        <w:rPr>
          <w:rFonts w:ascii="Verdana" w:hAnsi="Verdana" w:cstheme="minorBidi"/>
          <w:sz w:val="24"/>
          <w:szCs w:val="24"/>
        </w:rPr>
        <w:t>-by in attesa di verifica della regolarità aziendale attraverso l’interrogazione nella procedura Durc</w:t>
      </w:r>
      <w:r w:rsidR="001918AF">
        <w:rPr>
          <w:rFonts w:ascii="Verdana" w:hAnsi="Verdana" w:cstheme="minorBidi"/>
          <w:sz w:val="24"/>
          <w:szCs w:val="24"/>
        </w:rPr>
        <w:t>.</w:t>
      </w:r>
    </w:p>
    <w:p w14:paraId="56FB1686" w14:textId="77777777" w:rsidR="009E3012" w:rsidRPr="001274ED" w:rsidRDefault="009E3012" w:rsidP="009E3012">
      <w:pPr>
        <w:spacing w:after="200" w:line="259" w:lineRule="auto"/>
        <w:contextualSpacing/>
        <w:jc w:val="both"/>
        <w:rPr>
          <w:rFonts w:ascii="Verdana" w:hAnsi="Verdana" w:cstheme="minorBidi"/>
          <w:color w:val="FF0000"/>
          <w:sz w:val="24"/>
          <w:szCs w:val="24"/>
        </w:rPr>
      </w:pPr>
    </w:p>
    <w:p w14:paraId="1220DC93" w14:textId="77777777" w:rsidR="001274ED" w:rsidRDefault="001274ED" w:rsidP="009E3012">
      <w:pPr>
        <w:spacing w:after="200" w:line="259" w:lineRule="auto"/>
        <w:contextualSpacing/>
        <w:jc w:val="both"/>
        <w:rPr>
          <w:rFonts w:ascii="Verdana" w:hAnsi="Verdana" w:cstheme="minorBidi"/>
          <w:color w:val="000000" w:themeColor="text1"/>
          <w:sz w:val="24"/>
          <w:szCs w:val="24"/>
        </w:rPr>
      </w:pPr>
    </w:p>
    <w:p w14:paraId="21DC17A6" w14:textId="77777777" w:rsidR="00DB0654" w:rsidRPr="00DB0654" w:rsidRDefault="00DB0654" w:rsidP="00DB0654">
      <w:pPr>
        <w:spacing w:after="160" w:line="259" w:lineRule="auto"/>
        <w:jc w:val="center"/>
        <w:rPr>
          <w:rFonts w:ascii="Verdana" w:hAnsi="Verdana" w:cstheme="minorBidi"/>
          <w:color w:val="000000" w:themeColor="text1"/>
          <w:sz w:val="24"/>
          <w:szCs w:val="24"/>
        </w:rPr>
      </w:pPr>
      <w:r w:rsidRPr="00DB0654">
        <w:rPr>
          <w:rFonts w:ascii="Verdana" w:hAnsi="Verdana" w:cstheme="minorBidi"/>
          <w:noProof/>
          <w:color w:val="000000" w:themeColor="text1"/>
          <w:sz w:val="24"/>
          <w:szCs w:val="24"/>
        </w:rPr>
        <mc:AlternateContent>
          <mc:Choice Requires="wps">
            <w:drawing>
              <wp:anchor distT="0" distB="0" distL="114300" distR="114300" simplePos="0" relativeHeight="251659264" behindDoc="0" locked="0" layoutInCell="1" allowOverlap="1" wp14:anchorId="7DDF08F2" wp14:editId="70673003">
                <wp:simplePos x="0" y="0"/>
                <wp:positionH relativeFrom="column">
                  <wp:posOffset>231091</wp:posOffset>
                </wp:positionH>
                <wp:positionV relativeFrom="paragraph">
                  <wp:posOffset>153133</wp:posOffset>
                </wp:positionV>
                <wp:extent cx="5609492" cy="43961"/>
                <wp:effectExtent l="0" t="0" r="29845" b="32385"/>
                <wp:wrapNone/>
                <wp:docPr id="1" name="Connettore diritto 1"/>
                <wp:cNvGraphicFramePr/>
                <a:graphic xmlns:a="http://schemas.openxmlformats.org/drawingml/2006/main">
                  <a:graphicData uri="http://schemas.microsoft.com/office/word/2010/wordprocessingShape">
                    <wps:wsp>
                      <wps:cNvCnPr/>
                      <wps:spPr>
                        <a:xfrm flipV="1">
                          <a:off x="0" y="0"/>
                          <a:ext cx="5609492" cy="43961"/>
                        </a:xfrm>
                        <a:prstGeom prst="line">
                          <a:avLst/>
                        </a:prstGeom>
                        <a:noFill/>
                        <a:ln w="6350" cap="flat" cmpd="sng" algn="ctr">
                          <a:solidFill>
                            <a:srgbClr val="4472C4"/>
                          </a:solidFill>
                          <a:prstDash val="solid"/>
                          <a:miter lim="800000"/>
                        </a:ln>
                        <a:effectLst/>
                      </wps:spPr>
                      <wps:bodyPr/>
                    </wps:wsp>
                  </a:graphicData>
                </a:graphic>
              </wp:anchor>
            </w:drawing>
          </mc:Choice>
          <mc:Fallback>
            <w:pict>
              <v:line w14:anchorId="496B5236" id="Connettore diritto 1"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18.2pt,12.05pt" to="459.9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" strokecolor="#4472c4" strokeweight=".5pt">
                <v:stroke joinstyle="miter"/>
              </v:line>
            </w:pict>
          </mc:Fallback>
        </mc:AlternateContent>
      </w:r>
    </w:p>
    <w:p w14:paraId="13840FFA" w14:textId="32A64C0D" w:rsidR="00DB0654" w:rsidRPr="00DB0654" w:rsidRDefault="00DB0654" w:rsidP="00DB0654">
      <w:pPr>
        <w:spacing w:after="160" w:line="259" w:lineRule="auto"/>
        <w:jc w:val="both"/>
        <w:rPr>
          <w:rFonts w:ascii="Verdana" w:hAnsi="Verdana" w:cstheme="minorBidi"/>
          <w:b/>
          <w:bCs/>
          <w:color w:val="000000" w:themeColor="text1"/>
          <w:sz w:val="24"/>
          <w:szCs w:val="24"/>
        </w:rPr>
      </w:pPr>
      <w:r w:rsidRPr="00DB0654">
        <w:rPr>
          <w:rFonts w:ascii="Verdana" w:eastAsia="Calibri" w:hAnsi="Verdana" w:cs="Times New Roman"/>
          <w:color w:val="000000" w:themeColor="text1"/>
          <w:sz w:val="24"/>
          <w:szCs w:val="24"/>
        </w:rPr>
        <w:t>In accordo con i partecipanti</w:t>
      </w:r>
      <w:r w:rsidRPr="00DB0654">
        <w:rPr>
          <w:rFonts w:ascii="Verdana" w:hAnsi="Verdana" w:cstheme="minorBidi"/>
          <w:color w:val="000000" w:themeColor="text1"/>
          <w:sz w:val="24"/>
          <w:szCs w:val="24"/>
        </w:rPr>
        <w:t xml:space="preserve">, il prossimo Tavolo tecnico si terrà in presenza presso la Direzione provinciale INPS di Ferrara </w:t>
      </w:r>
      <w:r w:rsidR="00611759">
        <w:rPr>
          <w:rFonts w:ascii="Verdana" w:hAnsi="Verdana" w:cstheme="minorBidi"/>
          <w:b/>
          <w:bCs/>
          <w:color w:val="000000" w:themeColor="text1"/>
          <w:sz w:val="24"/>
          <w:szCs w:val="24"/>
        </w:rPr>
        <w:t>martedì</w:t>
      </w:r>
      <w:r w:rsidR="003C29A1">
        <w:rPr>
          <w:rFonts w:ascii="Verdana" w:hAnsi="Verdana" w:cstheme="minorBidi"/>
          <w:b/>
          <w:bCs/>
          <w:color w:val="000000" w:themeColor="text1"/>
          <w:sz w:val="24"/>
          <w:szCs w:val="24"/>
        </w:rPr>
        <w:t xml:space="preserve"> </w:t>
      </w:r>
      <w:r w:rsidR="001C694C">
        <w:rPr>
          <w:rFonts w:ascii="Verdana" w:hAnsi="Verdana" w:cstheme="minorBidi"/>
          <w:b/>
          <w:bCs/>
          <w:color w:val="000000" w:themeColor="text1"/>
          <w:sz w:val="24"/>
          <w:szCs w:val="24"/>
        </w:rPr>
        <w:t>15 aprile</w:t>
      </w:r>
      <w:r w:rsidR="00611759">
        <w:rPr>
          <w:rFonts w:ascii="Verdana" w:hAnsi="Verdana" w:cstheme="minorBidi"/>
          <w:b/>
          <w:bCs/>
          <w:color w:val="000000" w:themeColor="text1"/>
          <w:sz w:val="24"/>
          <w:szCs w:val="24"/>
        </w:rPr>
        <w:t xml:space="preserve"> 2025</w:t>
      </w:r>
      <w:r w:rsidRPr="00DB0654">
        <w:rPr>
          <w:rFonts w:ascii="Verdana" w:hAnsi="Verdana" w:cstheme="minorBidi"/>
          <w:b/>
          <w:bCs/>
          <w:color w:val="000000" w:themeColor="text1"/>
          <w:sz w:val="24"/>
          <w:szCs w:val="24"/>
        </w:rPr>
        <w:t>, alle ore 14.30.</w:t>
      </w:r>
    </w:p>
    <w:p w14:paraId="4C65A709" w14:textId="5A701A91" w:rsidR="00DB0654" w:rsidRPr="00DB0654" w:rsidRDefault="00DB0654" w:rsidP="00DB0654">
      <w:pPr>
        <w:spacing w:after="160" w:line="259" w:lineRule="auto"/>
        <w:jc w:val="both"/>
        <w:rPr>
          <w:rFonts w:ascii="Verdana" w:hAnsi="Verdana" w:cstheme="minorBidi"/>
          <w:b/>
          <w:bCs/>
          <w:color w:val="000000" w:themeColor="text1"/>
          <w:sz w:val="24"/>
          <w:szCs w:val="24"/>
        </w:rPr>
      </w:pPr>
      <w:r w:rsidRPr="00DB0654">
        <w:rPr>
          <w:rFonts w:ascii="Verdana" w:hAnsi="Verdana" w:cstheme="minorBidi"/>
          <w:color w:val="000000" w:themeColor="text1"/>
          <w:sz w:val="24"/>
          <w:szCs w:val="24"/>
        </w:rPr>
        <w:t xml:space="preserve">Come di consueto, eventuali quesiti e/o spunti di interesse potranno essere segnalati, alla casella </w:t>
      </w:r>
      <w:hyperlink r:id="rId8" w:history="1">
        <w:r w:rsidRPr="00DB0654">
          <w:rPr>
            <w:rFonts w:ascii="Verdana" w:hAnsi="Verdana" w:cstheme="minorBidi"/>
            <w:i/>
            <w:iCs/>
            <w:color w:val="000000" w:themeColor="text1"/>
            <w:sz w:val="24"/>
            <w:szCs w:val="24"/>
            <w:u w:val="single"/>
          </w:rPr>
          <w:t>direzione.ferrara@inps.it</w:t>
        </w:r>
      </w:hyperlink>
      <w:r w:rsidRPr="00DB0654">
        <w:rPr>
          <w:rFonts w:ascii="Verdana" w:hAnsi="Verdana" w:cstheme="minorBidi"/>
          <w:i/>
          <w:iCs/>
          <w:color w:val="000000" w:themeColor="text1"/>
          <w:sz w:val="24"/>
          <w:szCs w:val="24"/>
        </w:rPr>
        <w:t>.</w:t>
      </w:r>
    </w:p>
    <w:p w14:paraId="1ECEC818" w14:textId="14478915" w:rsidR="00DB0654" w:rsidRPr="00DB0654" w:rsidRDefault="00DB0654" w:rsidP="00DB0654">
      <w:pPr>
        <w:spacing w:after="160" w:line="259" w:lineRule="auto"/>
        <w:rPr>
          <w:rFonts w:asciiTheme="minorHAnsi" w:hAnsiTheme="minorHAnsi" w:cstheme="minorBidi"/>
          <w:color w:val="000000" w:themeColor="text1"/>
          <w:sz w:val="24"/>
          <w:szCs w:val="24"/>
        </w:rPr>
      </w:pPr>
      <w:r w:rsidRPr="00DB0654">
        <w:rPr>
          <w:rFonts w:ascii="Verdana" w:hAnsi="Verdana" w:cstheme="minorBidi"/>
          <w:b/>
          <w:bCs/>
          <w:color w:val="000000" w:themeColor="text1"/>
          <w:sz w:val="24"/>
          <w:szCs w:val="24"/>
        </w:rPr>
        <w:t xml:space="preserve">Ferrara, </w:t>
      </w:r>
      <w:r w:rsidR="001C694C">
        <w:rPr>
          <w:rFonts w:ascii="Verdana" w:hAnsi="Verdana" w:cstheme="minorBidi"/>
          <w:b/>
          <w:bCs/>
          <w:color w:val="000000" w:themeColor="text1"/>
          <w:sz w:val="24"/>
          <w:szCs w:val="24"/>
        </w:rPr>
        <w:t>18 febbraio 2025</w:t>
      </w:r>
    </w:p>
    <w:sectPr w:rsidR="00DB0654" w:rsidRPr="00DB0654" w:rsidSect="00344317">
      <w:headerReference w:type="default" r:id="rId9"/>
      <w:footerReference w:type="default" r:id="rId10"/>
      <w:headerReference w:type="first" r:id="rId11"/>
      <w:footerReference w:type="first" r:id="rId12"/>
      <w:pgSz w:w="11906" w:h="16838"/>
      <w:pgMar w:top="1472" w:right="1134" w:bottom="2410" w:left="1134" w:header="680"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BF8AFD" w14:textId="77777777" w:rsidR="00951865" w:rsidRDefault="00951865" w:rsidP="007D6F26">
      <w:r>
        <w:separator/>
      </w:r>
    </w:p>
  </w:endnote>
  <w:endnote w:type="continuationSeparator" w:id="0">
    <w:p w14:paraId="5F7168E6" w14:textId="77777777" w:rsidR="00951865" w:rsidRDefault="00951865" w:rsidP="007D6F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embedRegular r:id="rId1" w:fontKey="{473FE928-EF79-4F2E-A5D2-EBCA676A5932}"/>
    <w:embedBold r:id="rId2" w:fontKey="{6A646A78-095E-4C29-859F-1B2F85B661B1}"/>
    <w:embedItalic r:id="rId3" w:fontKey="{E3F3E6D6-7FCC-4CE5-B117-4A7582910184}"/>
  </w:font>
  <w:font w:name="Calibri">
    <w:panose1 w:val="020F0502020204030204"/>
    <w:charset w:val="00"/>
    <w:family w:val="swiss"/>
    <w:pitch w:val="variable"/>
    <w:sig w:usb0="E4002EFF" w:usb1="C000247B" w:usb2="00000009" w:usb3="00000000" w:csb0="000001FF" w:csb1="00000000"/>
    <w:embedRegular r:id="rId4" w:fontKey="{6032E5E9-1412-4460-A3D6-29A748188B74}"/>
    <w:embedBold r:id="rId5" w:fontKey="{1671A960-E2DA-485D-BFD9-F9F5614F56A8}"/>
    <w:embedItalic r:id="rId6" w:fontKey="{922EE679-8280-4B56-B185-5310F5576BFB}"/>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tillium Web">
    <w:charset w:val="00"/>
    <w:family w:val="auto"/>
    <w:pitch w:val="variable"/>
    <w:sig w:usb0="00000007" w:usb1="00000001" w:usb2="00000000" w:usb3="00000000" w:csb0="00000093" w:csb1="00000000"/>
    <w:embedRegular r:id="rId7" w:fontKey="{9EDAC542-B26D-4474-A053-B6706239D7DD}"/>
    <w:embedBold r:id="rId8" w:fontKey="{AE7F52E4-1CC3-4E21-BB00-642CD8A46D54}"/>
  </w:font>
  <w:font w:name="Arial">
    <w:panose1 w:val="020B0604020202020204"/>
    <w:charset w:val="00"/>
    <w:family w:val="swiss"/>
    <w:pitch w:val="variable"/>
    <w:sig w:usb0="E0002EFF" w:usb1="C000785B" w:usb2="00000009" w:usb3="00000000" w:csb0="000001FF" w:csb1="00000000"/>
  </w:font>
  <w:font w:name="Titillium Web SemiBold">
    <w:charset w:val="00"/>
    <w:family w:val="auto"/>
    <w:pitch w:val="variable"/>
    <w:sig w:usb0="00000007" w:usb1="00000001" w:usb2="00000000" w:usb3="00000000" w:csb0="00000093" w:csb1="00000000"/>
    <w:embedBold r:id="rId9" w:fontKey="{7F6A7BA4-0B99-4CDC-9D0D-BD24365C0AC6}"/>
  </w:font>
  <w:font w:name="Calibri Light">
    <w:panose1 w:val="020F0302020204030204"/>
    <w:charset w:val="00"/>
    <w:family w:val="swiss"/>
    <w:pitch w:val="variable"/>
    <w:sig w:usb0="E4002EFF" w:usb1="C000247B" w:usb2="00000009" w:usb3="00000000" w:csb0="000001FF" w:csb1="00000000"/>
    <w:embedRegular r:id="rId10" w:fontKey="{E6F07A70-0F82-4335-9CAE-C5DEC34CD45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45D5D" w14:textId="2E8A1385" w:rsidR="007D6F26" w:rsidRDefault="007D6F26" w:rsidP="007D6F26">
    <w:pPr>
      <w:widowControl w:val="0"/>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2552"/>
      <w:gridCol w:w="3544"/>
      <w:gridCol w:w="3542"/>
    </w:tblGrid>
    <w:tr w:rsidR="00C12E21" w14:paraId="05439732" w14:textId="77777777" w:rsidTr="0054562B">
      <w:tc>
        <w:tcPr>
          <w:tcW w:w="2552" w:type="dxa"/>
          <w:tcBorders>
            <w:top w:val="single" w:sz="18" w:space="0" w:color="2D6CD2"/>
          </w:tcBorders>
        </w:tcPr>
        <w:p w14:paraId="01525FE2" w14:textId="27160F8F" w:rsidR="00C12E21" w:rsidRDefault="00C12E21" w:rsidP="00C12E21">
          <w:pPr>
            <w:pStyle w:val="ParagrafoINPS"/>
            <w:rPr>
              <w:smallCaps/>
              <w:noProof/>
              <w:color w:val="4F81BD"/>
              <w:sz w:val="14"/>
              <w:szCs w:val="14"/>
            </w:rPr>
          </w:pPr>
        </w:p>
      </w:tc>
      <w:tc>
        <w:tcPr>
          <w:tcW w:w="3544" w:type="dxa"/>
          <w:tcBorders>
            <w:top w:val="single" w:sz="18" w:space="0" w:color="2D6CD2"/>
          </w:tcBorders>
        </w:tcPr>
        <w:p w14:paraId="50350A89" w14:textId="77777777" w:rsidR="00C12E21" w:rsidRPr="006F11B8" w:rsidRDefault="00C12E21" w:rsidP="00C12E21">
          <w:pPr>
            <w:tabs>
              <w:tab w:val="center" w:pos="4819"/>
              <w:tab w:val="right" w:pos="9638"/>
            </w:tabs>
            <w:spacing w:line="200" w:lineRule="exact"/>
            <w:rPr>
              <w:rFonts w:ascii="Titillium Web" w:hAnsi="Titillium Web"/>
              <w:b/>
              <w:color w:val="2F6DD5"/>
              <w:sz w:val="16"/>
              <w:szCs w:val="16"/>
            </w:rPr>
          </w:pPr>
        </w:p>
      </w:tc>
      <w:tc>
        <w:tcPr>
          <w:tcW w:w="3542" w:type="dxa"/>
          <w:tcBorders>
            <w:top w:val="single" w:sz="18" w:space="0" w:color="2D6CD2"/>
          </w:tcBorders>
        </w:tcPr>
        <w:p w14:paraId="1DE214C5" w14:textId="77777777" w:rsidR="00C12E21" w:rsidRDefault="00C12E21" w:rsidP="00C12E21">
          <w:pPr>
            <w:tabs>
              <w:tab w:val="center" w:pos="4819"/>
              <w:tab w:val="right" w:pos="9638"/>
            </w:tabs>
            <w:spacing w:line="200" w:lineRule="exact"/>
          </w:pPr>
        </w:p>
      </w:tc>
    </w:tr>
    <w:tr w:rsidR="00C12E21" w14:paraId="6330F03A" w14:textId="77777777" w:rsidTr="0054562B">
      <w:tc>
        <w:tcPr>
          <w:tcW w:w="2552" w:type="dxa"/>
        </w:tcPr>
        <w:p w14:paraId="6499C4B1" w14:textId="021BAE8F" w:rsidR="00C12E21" w:rsidRDefault="00782EDF" w:rsidP="00C12E21">
          <w:pPr>
            <w:pStyle w:val="ParagrafoINPS"/>
          </w:pPr>
          <w:r>
            <w:rPr>
              <w:noProof/>
            </w:rPr>
            <w:drawing>
              <wp:anchor distT="0" distB="0" distL="114300" distR="114300" simplePos="0" relativeHeight="251669504" behindDoc="0" locked="0" layoutInCell="1" allowOverlap="1" wp14:anchorId="2564F1C7" wp14:editId="5F1C2101">
                <wp:simplePos x="0" y="0"/>
                <wp:positionH relativeFrom="column">
                  <wp:posOffset>0</wp:posOffset>
                </wp:positionH>
                <wp:positionV relativeFrom="paragraph">
                  <wp:posOffset>-179705</wp:posOffset>
                </wp:positionV>
                <wp:extent cx="1702800" cy="777600"/>
                <wp:effectExtent l="0" t="0" r="0" b="0"/>
                <wp:wrapNone/>
                <wp:docPr id="2" name="Immagine 2" descr="A blue logo with a black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18" name="Immagine 18" descr="A blue logo with a black background&#10;&#10;Description automatically generated"/>
                        <pic:cNvPicPr preferRelativeResize="0"/>
                      </pic:nvPicPr>
                      <pic:blipFill rotWithShape="1">
                        <a:blip r:embed="rId1">
                          <a:extLst>
                            <a:ext uri="{28A0092B-C50C-407E-A947-70E740481C1C}">
                              <a14:useLocalDpi xmlns:a14="http://schemas.microsoft.com/office/drawing/2010/main" val="0"/>
                            </a:ext>
                          </a:extLst>
                        </a:blip>
                        <a:srcRect l="10573" r="-10573"/>
                        <a:stretch/>
                      </pic:blipFill>
                      <pic:spPr>
                        <a:xfrm>
                          <a:off x="0" y="0"/>
                          <a:ext cx="1702800" cy="777600"/>
                        </a:xfrm>
                        <a:prstGeom prst="rect">
                          <a:avLst/>
                        </a:prstGeom>
                        <a:ln/>
                      </pic:spPr>
                    </pic:pic>
                  </a:graphicData>
                </a:graphic>
                <wp14:sizeRelH relativeFrom="page">
                  <wp14:pctWidth>0</wp14:pctWidth>
                </wp14:sizeRelH>
                <wp14:sizeRelV relativeFrom="page">
                  <wp14:pctHeight>0</wp14:pctHeight>
                </wp14:sizeRelV>
              </wp:anchor>
            </w:drawing>
          </w:r>
        </w:p>
      </w:tc>
      <w:tc>
        <w:tcPr>
          <w:tcW w:w="3544" w:type="dxa"/>
        </w:tcPr>
        <w:p w14:paraId="7A1BB5A1" w14:textId="3F58A936" w:rsidR="00C12E21" w:rsidRPr="006F11B8" w:rsidRDefault="00C12E21" w:rsidP="0054562B">
          <w:pPr>
            <w:tabs>
              <w:tab w:val="center" w:pos="4819"/>
              <w:tab w:val="right" w:pos="9638"/>
            </w:tabs>
            <w:spacing w:line="200" w:lineRule="exact"/>
            <w:rPr>
              <w:rFonts w:ascii="Titillium Web" w:hAnsi="Titillium Web"/>
              <w:b/>
              <w:color w:val="2F6DD5"/>
              <w:sz w:val="16"/>
              <w:szCs w:val="16"/>
            </w:rPr>
          </w:pPr>
          <w:r w:rsidRPr="006F11B8">
            <w:rPr>
              <w:rFonts w:ascii="Titillium Web" w:hAnsi="Titillium Web"/>
              <w:b/>
              <w:color w:val="2F6DD5"/>
              <w:sz w:val="16"/>
              <w:szCs w:val="16"/>
            </w:rPr>
            <w:t>Vi</w:t>
          </w:r>
          <w:r w:rsidR="00785379">
            <w:rPr>
              <w:rFonts w:ascii="Titillium Web" w:hAnsi="Titillium Web"/>
              <w:b/>
              <w:color w:val="2F6DD5"/>
              <w:sz w:val="16"/>
              <w:szCs w:val="16"/>
            </w:rPr>
            <w:t xml:space="preserve">ale </w:t>
          </w:r>
          <w:r w:rsidR="00785379" w:rsidRPr="00785379">
            <w:rPr>
              <w:rFonts w:ascii="Titillium Web" w:hAnsi="Titillium Web"/>
              <w:b/>
              <w:color w:val="4472C4" w:themeColor="accent1"/>
              <w:sz w:val="16"/>
              <w:szCs w:val="16"/>
            </w:rPr>
            <w:t>Cavour</w:t>
          </w:r>
          <w:r w:rsidRPr="00785379">
            <w:rPr>
              <w:rFonts w:ascii="Titillium Web" w:hAnsi="Titillium Web"/>
              <w:b/>
              <w:color w:val="4472C4" w:themeColor="accent1"/>
              <w:sz w:val="16"/>
              <w:szCs w:val="16"/>
            </w:rPr>
            <w:t xml:space="preserve">, </w:t>
          </w:r>
          <w:r w:rsidR="00785379" w:rsidRPr="00785379">
            <w:rPr>
              <w:rFonts w:ascii="Titillium Web" w:hAnsi="Titillium Web"/>
              <w:b/>
              <w:color w:val="4472C4" w:themeColor="accent1"/>
              <w:sz w:val="16"/>
              <w:szCs w:val="16"/>
            </w:rPr>
            <w:t>164</w:t>
          </w:r>
          <w:r w:rsidRPr="00785379">
            <w:rPr>
              <w:rFonts w:ascii="Titillium Web" w:hAnsi="Titillium Web"/>
              <w:b/>
              <w:color w:val="4472C4" w:themeColor="accent1"/>
              <w:sz w:val="16"/>
              <w:szCs w:val="16"/>
            </w:rPr>
            <w:t xml:space="preserve"> – </w:t>
          </w:r>
          <w:r w:rsidR="00785379">
            <w:rPr>
              <w:rFonts w:ascii="Titillium Web" w:hAnsi="Titillium Web"/>
              <w:b/>
              <w:color w:val="2F6DD5"/>
              <w:sz w:val="16"/>
              <w:szCs w:val="16"/>
            </w:rPr>
            <w:t>44121</w:t>
          </w:r>
          <w:r w:rsidRPr="006F11B8">
            <w:rPr>
              <w:rFonts w:ascii="Titillium Web" w:hAnsi="Titillium Web"/>
              <w:b/>
              <w:color w:val="2F6DD5"/>
              <w:sz w:val="16"/>
              <w:szCs w:val="16"/>
            </w:rPr>
            <w:t xml:space="preserve"> </w:t>
          </w:r>
          <w:r w:rsidR="00785379">
            <w:rPr>
              <w:rFonts w:ascii="Titillium Web" w:hAnsi="Titillium Web"/>
              <w:b/>
              <w:color w:val="2F6DD5"/>
              <w:sz w:val="16"/>
              <w:szCs w:val="16"/>
            </w:rPr>
            <w:t>Ferrara</w:t>
          </w:r>
        </w:p>
        <w:p w14:paraId="1413EC69" w14:textId="0CE6A760" w:rsidR="00C12E21" w:rsidRPr="006F11B8" w:rsidRDefault="00C12E21" w:rsidP="0054562B">
          <w:pPr>
            <w:tabs>
              <w:tab w:val="center" w:pos="4819"/>
              <w:tab w:val="right" w:pos="9638"/>
            </w:tabs>
            <w:spacing w:line="200" w:lineRule="exact"/>
            <w:rPr>
              <w:rFonts w:ascii="Titillium Web" w:hAnsi="Titillium Web"/>
              <w:b/>
              <w:color w:val="2F6DD5"/>
              <w:sz w:val="16"/>
              <w:szCs w:val="16"/>
            </w:rPr>
          </w:pPr>
          <w:r w:rsidRPr="006F11B8">
            <w:rPr>
              <w:rFonts w:ascii="Titillium Web" w:hAnsi="Titillium Web"/>
              <w:b/>
              <w:color w:val="2F6DD5"/>
              <w:sz w:val="16"/>
              <w:szCs w:val="16"/>
            </w:rPr>
            <w:t xml:space="preserve">tel. +39 </w:t>
          </w:r>
          <w:r w:rsidR="00785379">
            <w:rPr>
              <w:rFonts w:ascii="Titillium Web" w:hAnsi="Titillium Web"/>
              <w:b/>
              <w:color w:val="2F6DD5"/>
              <w:sz w:val="16"/>
              <w:szCs w:val="16"/>
            </w:rPr>
            <w:t>803 164</w:t>
          </w:r>
          <w:r w:rsidRPr="006F11B8">
            <w:rPr>
              <w:rFonts w:ascii="Titillium Web" w:hAnsi="Titillium Web"/>
              <w:b/>
              <w:color w:val="2F6DD5"/>
              <w:sz w:val="16"/>
              <w:szCs w:val="16"/>
            </w:rPr>
            <w:t xml:space="preserve"> – fax +</w:t>
          </w:r>
          <w:r w:rsidR="00785379">
            <w:rPr>
              <w:rFonts w:ascii="Titillium Web" w:hAnsi="Titillium Web"/>
              <w:b/>
              <w:color w:val="2F6DD5"/>
              <w:sz w:val="16"/>
              <w:szCs w:val="16"/>
            </w:rPr>
            <w:t>0532 292311</w:t>
          </w:r>
        </w:p>
        <w:p w14:paraId="5B6122A1" w14:textId="16D286E7" w:rsidR="0054562B" w:rsidRPr="0054562B" w:rsidRDefault="00C12E21" w:rsidP="0054562B">
          <w:pPr>
            <w:pStyle w:val="ParagrafoINPS"/>
            <w:spacing w:line="200" w:lineRule="exact"/>
            <w:rPr>
              <w:b/>
              <w:color w:val="2F6DD5"/>
              <w:sz w:val="16"/>
              <w:szCs w:val="16"/>
            </w:rPr>
          </w:pPr>
          <w:r w:rsidRPr="006F11B8">
            <w:rPr>
              <w:b/>
              <w:color w:val="2F6DD5"/>
              <w:sz w:val="16"/>
              <w:szCs w:val="16"/>
            </w:rPr>
            <w:t>cod. fisc.: 80078750587 p.iva: 02121151001</w:t>
          </w:r>
        </w:p>
      </w:tc>
      <w:tc>
        <w:tcPr>
          <w:tcW w:w="3542" w:type="dxa"/>
        </w:tcPr>
        <w:p w14:paraId="387A53F4" w14:textId="4D09F5C2" w:rsidR="00C12E21" w:rsidRPr="00785379" w:rsidRDefault="00785379" w:rsidP="0054562B">
          <w:pPr>
            <w:tabs>
              <w:tab w:val="center" w:pos="4819"/>
              <w:tab w:val="right" w:pos="9638"/>
            </w:tabs>
            <w:spacing w:line="200" w:lineRule="exact"/>
            <w:rPr>
              <w:rStyle w:val="Collegamentoipertestuale"/>
              <w:b/>
              <w:color w:val="4472C4" w:themeColor="accent1"/>
              <w:u w:val="none"/>
            </w:rPr>
          </w:pPr>
          <w:hyperlink r:id="rId2" w:history="1">
            <w:r w:rsidRPr="00785379">
              <w:rPr>
                <w:rStyle w:val="Collegamentoipertestuale"/>
                <w:rFonts w:ascii="Titillium Web" w:hAnsi="Titillium Web"/>
                <w:b/>
                <w:color w:val="4472C4" w:themeColor="accent1"/>
                <w:sz w:val="16"/>
                <w:szCs w:val="16"/>
                <w:u w:val="none"/>
              </w:rPr>
              <w:t>direzione.provinciale.ferrara@postacert.inps.gov.it</w:t>
            </w:r>
          </w:hyperlink>
        </w:p>
        <w:p w14:paraId="47F38CD5" w14:textId="70B9FEC5" w:rsidR="00C12E21" w:rsidRPr="00785379" w:rsidRDefault="00785379" w:rsidP="0054562B">
          <w:pPr>
            <w:tabs>
              <w:tab w:val="center" w:pos="4819"/>
              <w:tab w:val="right" w:pos="9638"/>
            </w:tabs>
            <w:spacing w:line="200" w:lineRule="exact"/>
            <w:rPr>
              <w:rStyle w:val="Collegamentoipertestuale"/>
              <w:rFonts w:ascii="Titillium Web" w:hAnsi="Titillium Web"/>
              <w:b/>
              <w:color w:val="4472C4" w:themeColor="accent1"/>
              <w:sz w:val="16"/>
              <w:szCs w:val="16"/>
              <w:u w:val="none"/>
            </w:rPr>
          </w:pPr>
          <w:r w:rsidRPr="00785379">
            <w:rPr>
              <w:rStyle w:val="Collegamentoipertestuale"/>
              <w:rFonts w:ascii="Titillium Web" w:hAnsi="Titillium Web"/>
              <w:b/>
              <w:color w:val="4472C4" w:themeColor="accent1"/>
              <w:sz w:val="16"/>
              <w:szCs w:val="16"/>
              <w:u w:val="none"/>
            </w:rPr>
            <w:t>direzione.ferrara@inps.it</w:t>
          </w:r>
        </w:p>
        <w:p w14:paraId="656EB55F" w14:textId="3EF0D2F8" w:rsidR="0054562B" w:rsidRPr="00785379" w:rsidRDefault="00C12E21" w:rsidP="0054562B">
          <w:pPr>
            <w:pStyle w:val="ParagrafoINPS"/>
            <w:spacing w:line="200" w:lineRule="exact"/>
            <w:rPr>
              <w:b/>
              <w:color w:val="1155CC"/>
              <w:sz w:val="16"/>
              <w:szCs w:val="16"/>
              <w:u w:val="single"/>
            </w:rPr>
          </w:pPr>
          <w:hyperlink r:id="rId3">
            <w:r w:rsidRPr="00785379">
              <w:rPr>
                <w:rStyle w:val="Collegamentoipertestuale"/>
                <w:b/>
                <w:color w:val="4472C4" w:themeColor="accent1"/>
                <w:sz w:val="16"/>
                <w:szCs w:val="16"/>
                <w:u w:val="none"/>
              </w:rPr>
              <w:t>www.inps.it</w:t>
            </w:r>
          </w:hyperlink>
        </w:p>
      </w:tc>
    </w:tr>
  </w:tbl>
  <w:p w14:paraId="6E791194" w14:textId="137C6D5A" w:rsidR="007D6F26" w:rsidRPr="007D6F26" w:rsidRDefault="007D6F26" w:rsidP="007D6F26">
    <w:pPr>
      <w:tabs>
        <w:tab w:val="left" w:pos="3705"/>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EE4BD" w14:textId="77777777" w:rsidR="00C12E21" w:rsidRDefault="00C12E21" w:rsidP="00C12E21">
    <w:pPr>
      <w:pStyle w:val="ParagrafoINPS"/>
      <w:rPr>
        <w:szCs w:val="22"/>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678"/>
      <w:gridCol w:w="136"/>
      <w:gridCol w:w="4814"/>
    </w:tblGrid>
    <w:tr w:rsidR="00C12E21" w14:paraId="523FB155" w14:textId="77777777" w:rsidTr="0054562B">
      <w:tc>
        <w:tcPr>
          <w:tcW w:w="4814" w:type="dxa"/>
          <w:gridSpan w:val="2"/>
          <w:tcBorders>
            <w:top w:val="single" w:sz="18" w:space="0" w:color="2D6CD2"/>
          </w:tcBorders>
        </w:tcPr>
        <w:p w14:paraId="0CDA0CDE" w14:textId="77777777" w:rsidR="00C12E21" w:rsidRPr="006F11B8" w:rsidRDefault="00C12E21" w:rsidP="00C12E21">
          <w:pPr>
            <w:pBdr>
              <w:top w:val="nil"/>
              <w:left w:val="nil"/>
              <w:bottom w:val="nil"/>
              <w:right w:val="nil"/>
              <w:between w:val="nil"/>
            </w:pBdr>
            <w:tabs>
              <w:tab w:val="center" w:pos="4819"/>
              <w:tab w:val="right" w:pos="9638"/>
            </w:tabs>
            <w:spacing w:line="240" w:lineRule="exact"/>
            <w:rPr>
              <w:rFonts w:ascii="Titillium Web" w:hAnsi="Titillium Web"/>
              <w:b/>
              <w:color w:val="2F6DD5"/>
              <w:sz w:val="20"/>
              <w:szCs w:val="20"/>
            </w:rPr>
          </w:pPr>
        </w:p>
      </w:tc>
      <w:tc>
        <w:tcPr>
          <w:tcW w:w="4814" w:type="dxa"/>
          <w:tcBorders>
            <w:top w:val="single" w:sz="18" w:space="0" w:color="2D6CD2"/>
          </w:tcBorders>
        </w:tcPr>
        <w:p w14:paraId="242C4AD6" w14:textId="77777777" w:rsidR="00C12E21" w:rsidRDefault="00C12E21" w:rsidP="00C12E21">
          <w:pPr>
            <w:pBdr>
              <w:top w:val="nil"/>
              <w:left w:val="nil"/>
              <w:bottom w:val="nil"/>
              <w:right w:val="nil"/>
              <w:between w:val="nil"/>
            </w:pBdr>
            <w:tabs>
              <w:tab w:val="center" w:pos="4819"/>
              <w:tab w:val="right" w:pos="9638"/>
            </w:tabs>
            <w:spacing w:line="240" w:lineRule="exact"/>
          </w:pPr>
        </w:p>
      </w:tc>
    </w:tr>
    <w:tr w:rsidR="00C12E21" w:rsidRPr="00AA1868" w14:paraId="4F142C38" w14:textId="77777777" w:rsidTr="004D6482">
      <w:trPr>
        <w:cantSplit/>
      </w:trPr>
      <w:tc>
        <w:tcPr>
          <w:tcW w:w="4678" w:type="dxa"/>
        </w:tcPr>
        <w:p w14:paraId="1C0EA909" w14:textId="77777777" w:rsidR="00172ADF" w:rsidRPr="00172ADF" w:rsidRDefault="00172ADF" w:rsidP="00172ADF">
          <w:pPr>
            <w:pBdr>
              <w:top w:val="nil"/>
              <w:left w:val="nil"/>
              <w:bottom w:val="nil"/>
              <w:right w:val="nil"/>
              <w:between w:val="nil"/>
            </w:pBdr>
            <w:tabs>
              <w:tab w:val="center" w:pos="4819"/>
              <w:tab w:val="right" w:pos="9638"/>
            </w:tabs>
            <w:spacing w:line="240" w:lineRule="exact"/>
            <w:rPr>
              <w:rFonts w:ascii="Titillium Web" w:hAnsi="Titillium Web"/>
              <w:b/>
              <w:color w:val="2F6DD5"/>
              <w:sz w:val="20"/>
              <w:szCs w:val="20"/>
            </w:rPr>
          </w:pPr>
          <w:r w:rsidRPr="00172ADF">
            <w:rPr>
              <w:rFonts w:ascii="Titillium Web" w:hAnsi="Titillium Web"/>
              <w:b/>
              <w:color w:val="2F6DD5"/>
              <w:sz w:val="20"/>
              <w:szCs w:val="20"/>
            </w:rPr>
            <w:t>Viale Cavour, 164 – 44121 Ferrara</w:t>
          </w:r>
        </w:p>
        <w:p w14:paraId="7977745D" w14:textId="77777777" w:rsidR="00172ADF" w:rsidRPr="00172ADF" w:rsidRDefault="00172ADF" w:rsidP="00172ADF">
          <w:pPr>
            <w:pBdr>
              <w:top w:val="nil"/>
              <w:left w:val="nil"/>
              <w:bottom w:val="nil"/>
              <w:right w:val="nil"/>
              <w:between w:val="nil"/>
            </w:pBdr>
            <w:tabs>
              <w:tab w:val="center" w:pos="4819"/>
              <w:tab w:val="right" w:pos="9638"/>
            </w:tabs>
            <w:spacing w:line="240" w:lineRule="exact"/>
            <w:rPr>
              <w:rFonts w:ascii="Titillium Web" w:hAnsi="Titillium Web"/>
              <w:b/>
              <w:color w:val="2F6DD5"/>
              <w:sz w:val="20"/>
              <w:szCs w:val="20"/>
            </w:rPr>
          </w:pPr>
          <w:r w:rsidRPr="00172ADF">
            <w:rPr>
              <w:rFonts w:ascii="Titillium Web" w:hAnsi="Titillium Web"/>
              <w:b/>
              <w:color w:val="2F6DD5"/>
              <w:sz w:val="20"/>
              <w:szCs w:val="20"/>
            </w:rPr>
            <w:t>tel. +39 803164 – fax +39 0532 292311</w:t>
          </w:r>
        </w:p>
        <w:p w14:paraId="5C758B11" w14:textId="76B81987" w:rsidR="00C12E21" w:rsidRDefault="00172ADF" w:rsidP="00172ADF">
          <w:pPr>
            <w:pStyle w:val="ParagrafoINPS"/>
          </w:pPr>
          <w:r w:rsidRPr="00172ADF">
            <w:rPr>
              <w:b/>
              <w:color w:val="2F6DD5"/>
              <w:sz w:val="20"/>
              <w:szCs w:val="20"/>
            </w:rPr>
            <w:t>cod. fisc.: 80078750587 p.iva: 02121151001</w:t>
          </w:r>
        </w:p>
      </w:tc>
      <w:tc>
        <w:tcPr>
          <w:tcW w:w="4950" w:type="dxa"/>
          <w:gridSpan w:val="2"/>
        </w:tcPr>
        <w:p w14:paraId="2464EE3C" w14:textId="3975C7D7" w:rsidR="00C12E21" w:rsidRPr="00C12E21" w:rsidRDefault="004D6482" w:rsidP="00785379">
          <w:pPr>
            <w:pBdr>
              <w:top w:val="nil"/>
              <w:left w:val="nil"/>
              <w:bottom w:val="nil"/>
              <w:right w:val="nil"/>
              <w:between w:val="nil"/>
            </w:pBdr>
            <w:tabs>
              <w:tab w:val="center" w:pos="4819"/>
              <w:tab w:val="right" w:pos="9638"/>
            </w:tabs>
            <w:spacing w:line="240" w:lineRule="exact"/>
            <w:rPr>
              <w:rFonts w:ascii="Titillium Web" w:hAnsi="Titillium Web"/>
              <w:b/>
              <w:color w:val="2F6DD5"/>
              <w:sz w:val="20"/>
              <w:szCs w:val="20"/>
              <w:u w:val="single"/>
            </w:rPr>
          </w:pPr>
          <w:r w:rsidRPr="00BD647D">
            <w:rPr>
              <w:rFonts w:ascii="Titillium Web" w:hAnsi="Titillium Web"/>
              <w:b/>
              <w:color w:val="2F6DD5"/>
              <w:sz w:val="20"/>
              <w:szCs w:val="20"/>
            </w:rPr>
            <w:t>direzione.provinciale.ferrara@postacert.inps.gov.it</w:t>
          </w:r>
          <w:r w:rsidRPr="00BD647D">
            <w:rPr>
              <w:rFonts w:ascii="Titillium Web" w:hAnsi="Titillium Web"/>
              <w:b/>
              <w:color w:val="2F6DD5"/>
              <w:sz w:val="20"/>
              <w:szCs w:val="20"/>
            </w:rPr>
            <w:br/>
          </w:r>
          <w:r>
            <w:rPr>
              <w:rFonts w:ascii="Titillium Web" w:hAnsi="Titillium Web"/>
              <w:b/>
              <w:color w:val="2F6DD5"/>
              <w:sz w:val="20"/>
              <w:szCs w:val="20"/>
            </w:rPr>
            <w:t>direzione.ferrara@inps.it</w:t>
          </w:r>
          <w:r w:rsidRPr="00C12E21">
            <w:rPr>
              <w:rFonts w:ascii="Titillium Web" w:hAnsi="Titillium Web"/>
              <w:b/>
              <w:color w:val="2F6DD5"/>
              <w:sz w:val="20"/>
              <w:szCs w:val="20"/>
            </w:rPr>
            <w:br/>
            <w:t>www.inps.it</w:t>
          </w:r>
        </w:p>
      </w:tc>
    </w:tr>
  </w:tbl>
  <w:p w14:paraId="1C1FD572" w14:textId="77777777" w:rsidR="007D6F26" w:rsidRPr="00C12E21" w:rsidRDefault="007D6F26" w:rsidP="00C12E2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DBD1B4" w14:textId="77777777" w:rsidR="00951865" w:rsidRDefault="00951865" w:rsidP="007D6F26">
      <w:r>
        <w:separator/>
      </w:r>
    </w:p>
  </w:footnote>
  <w:footnote w:type="continuationSeparator" w:id="0">
    <w:p w14:paraId="547343BF" w14:textId="77777777" w:rsidR="00951865" w:rsidRDefault="00951865" w:rsidP="007D6F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tillium Web SemiBold" w:hAnsi="Titillium Web SemiBold"/>
        <w:b/>
        <w:bCs/>
        <w:color w:val="2F6DD5"/>
      </w:rPr>
      <w:id w:val="1541552867"/>
      <w:docPartObj>
        <w:docPartGallery w:val="Page Numbers (Top of Page)"/>
        <w:docPartUnique/>
      </w:docPartObj>
    </w:sdtPr>
    <w:sdtEndPr/>
    <w:sdtContent>
      <w:p w14:paraId="393B6F4B" w14:textId="77777777" w:rsidR="00782EDF" w:rsidRPr="00782EDF" w:rsidRDefault="00782EDF" w:rsidP="00782EDF">
        <w:pPr>
          <w:framePr w:wrap="none" w:vAnchor="text" w:hAnchor="page" w:x="10606" w:y="116"/>
          <w:tabs>
            <w:tab w:val="center" w:pos="4819"/>
            <w:tab w:val="right" w:pos="9638"/>
          </w:tabs>
          <w:jc w:val="right"/>
          <w:rPr>
            <w:rFonts w:ascii="Titillium Web SemiBold" w:hAnsi="Titillium Web SemiBold"/>
            <w:b/>
            <w:bCs/>
            <w:color w:val="2F6DD5"/>
          </w:rPr>
        </w:pPr>
        <w:r w:rsidRPr="00782EDF">
          <w:rPr>
            <w:rFonts w:ascii="Titillium Web SemiBold" w:hAnsi="Titillium Web SemiBold"/>
            <w:b/>
            <w:bCs/>
            <w:color w:val="2F6DD5"/>
          </w:rPr>
          <w:fldChar w:fldCharType="begin"/>
        </w:r>
        <w:r w:rsidRPr="00782EDF">
          <w:rPr>
            <w:rFonts w:ascii="Titillium Web SemiBold" w:hAnsi="Titillium Web SemiBold"/>
            <w:b/>
            <w:bCs/>
            <w:color w:val="2F6DD5"/>
          </w:rPr>
          <w:instrText xml:space="preserve"> PAGE </w:instrText>
        </w:r>
        <w:r w:rsidRPr="00782EDF">
          <w:rPr>
            <w:rFonts w:ascii="Titillium Web SemiBold" w:hAnsi="Titillium Web SemiBold"/>
            <w:b/>
            <w:bCs/>
            <w:color w:val="2F6DD5"/>
          </w:rPr>
          <w:fldChar w:fldCharType="separate"/>
        </w:r>
        <w:r w:rsidRPr="00782EDF">
          <w:rPr>
            <w:rFonts w:ascii="Titillium Web SemiBold" w:hAnsi="Titillium Web SemiBold"/>
            <w:b/>
            <w:bCs/>
            <w:color w:val="2F6DD5"/>
          </w:rPr>
          <w:t>2</w:t>
        </w:r>
        <w:r w:rsidRPr="00782EDF">
          <w:rPr>
            <w:rFonts w:ascii="Titillium Web SemiBold" w:hAnsi="Titillium Web SemiBold"/>
            <w:b/>
            <w:bCs/>
            <w:color w:val="2F6DD5"/>
          </w:rPr>
          <w:fldChar w:fldCharType="end"/>
        </w:r>
      </w:p>
    </w:sdtContent>
  </w:sdt>
  <w:tbl>
    <w:tblPr>
      <w:tblStyle w:val="Grigliatabella"/>
      <w:tblW w:w="0" w:type="auto"/>
      <w:tblLook w:val="04A0" w:firstRow="1" w:lastRow="0" w:firstColumn="1" w:lastColumn="0" w:noHBand="0" w:noVBand="1"/>
    </w:tblPr>
    <w:tblGrid>
      <w:gridCol w:w="4814"/>
      <w:gridCol w:w="4814"/>
    </w:tblGrid>
    <w:tr w:rsidR="00C12E21" w:rsidRPr="00C12E21" w14:paraId="16C16CAA" w14:textId="77777777" w:rsidTr="00A45446">
      <w:trPr>
        <w:trHeight w:val="45"/>
      </w:trPr>
      <w:tc>
        <w:tcPr>
          <w:tcW w:w="4814" w:type="dxa"/>
          <w:tcBorders>
            <w:top w:val="single" w:sz="18" w:space="0" w:color="2D6CD2"/>
            <w:left w:val="nil"/>
            <w:bottom w:val="nil"/>
            <w:right w:val="nil"/>
          </w:tcBorders>
        </w:tcPr>
        <w:p w14:paraId="30563453" w14:textId="4BB4A38E" w:rsidR="00C12E21" w:rsidRPr="006F11B8" w:rsidRDefault="00C12E21" w:rsidP="00C12E21">
          <w:pPr>
            <w:pBdr>
              <w:top w:val="nil"/>
              <w:left w:val="nil"/>
              <w:bottom w:val="nil"/>
              <w:right w:val="nil"/>
              <w:between w:val="nil"/>
            </w:pBdr>
            <w:tabs>
              <w:tab w:val="center" w:pos="4819"/>
              <w:tab w:val="right" w:pos="9638"/>
            </w:tabs>
            <w:spacing w:line="240" w:lineRule="exact"/>
            <w:rPr>
              <w:rFonts w:ascii="Titillium Web" w:hAnsi="Titillium Web"/>
              <w:b/>
              <w:color w:val="2F6DD5"/>
              <w:sz w:val="20"/>
              <w:szCs w:val="20"/>
            </w:rPr>
          </w:pPr>
        </w:p>
      </w:tc>
      <w:tc>
        <w:tcPr>
          <w:tcW w:w="4814" w:type="dxa"/>
          <w:tcBorders>
            <w:top w:val="single" w:sz="18" w:space="0" w:color="2D6CD2"/>
            <w:left w:val="nil"/>
            <w:bottom w:val="nil"/>
            <w:right w:val="nil"/>
          </w:tcBorders>
        </w:tcPr>
        <w:p w14:paraId="762223B9" w14:textId="77777777" w:rsidR="00C12E21" w:rsidRPr="00C12E21" w:rsidRDefault="00C12E21" w:rsidP="00C12E21">
          <w:pPr>
            <w:pBdr>
              <w:top w:val="nil"/>
              <w:left w:val="nil"/>
              <w:bottom w:val="nil"/>
              <w:right w:val="nil"/>
              <w:between w:val="nil"/>
            </w:pBdr>
            <w:tabs>
              <w:tab w:val="center" w:pos="4819"/>
              <w:tab w:val="right" w:pos="9638"/>
            </w:tabs>
            <w:spacing w:line="240" w:lineRule="exact"/>
            <w:rPr>
              <w:rFonts w:ascii="Titillium Web" w:hAnsi="Titillium Web"/>
              <w:b/>
              <w:color w:val="2F6DD5"/>
              <w:sz w:val="20"/>
              <w:szCs w:val="20"/>
            </w:rPr>
          </w:pPr>
        </w:p>
      </w:tc>
    </w:tr>
  </w:tbl>
  <w:p w14:paraId="5B58B0C0" w14:textId="14B64A89" w:rsidR="007D6F26" w:rsidRPr="007D6F26" w:rsidRDefault="007D6F26" w:rsidP="00782EDF">
    <w:pPr>
      <w:pBdr>
        <w:top w:val="nil"/>
        <w:left w:val="nil"/>
        <w:bottom w:val="nil"/>
        <w:right w:val="nil"/>
        <w:between w:val="nil"/>
      </w:pBdr>
      <w:tabs>
        <w:tab w:val="center" w:pos="4819"/>
        <w:tab w:val="right" w:pos="9638"/>
      </w:tabs>
      <w:jc w:val="right"/>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73F86" w14:textId="283AAD04" w:rsidR="00FA795D" w:rsidRPr="0038145E" w:rsidRDefault="009A2AD2" w:rsidP="007D6F26">
    <w:pPr>
      <w:spacing w:line="240" w:lineRule="exact"/>
      <w:rPr>
        <w:rFonts w:ascii="Titillium Web" w:hAnsi="Titillium Web"/>
        <w:b/>
        <w:color w:val="2F6DD5"/>
        <w:sz w:val="20"/>
        <w:szCs w:val="20"/>
      </w:rPr>
    </w:pPr>
    <w:r w:rsidRPr="006F11B8">
      <w:rPr>
        <w:rFonts w:ascii="Titillium Web" w:hAnsi="Titillium Web"/>
        <w:noProof/>
        <w:color w:val="0070C0"/>
      </w:rPr>
      <w:drawing>
        <wp:anchor distT="114300" distB="114300" distL="114300" distR="114300" simplePos="0" relativeHeight="251667456" behindDoc="0" locked="0" layoutInCell="1" hidden="0" allowOverlap="1" wp14:anchorId="59B76CB0" wp14:editId="1C20FC9D">
          <wp:simplePos x="0" y="0"/>
          <wp:positionH relativeFrom="margin">
            <wp:posOffset>0</wp:posOffset>
          </wp:positionH>
          <wp:positionV relativeFrom="page">
            <wp:posOffset>371475</wp:posOffset>
          </wp:positionV>
          <wp:extent cx="712800" cy="1026000"/>
          <wp:effectExtent l="0" t="0" r="0" b="0"/>
          <wp:wrapNone/>
          <wp:docPr id="3" name="Immagine 3" descr="A blue logo on a black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19" name="Immagine 19" descr="A blue logo on a black background&#10;&#10;Description automatically generated"/>
                  <pic:cNvPicPr preferRelativeResize="0"/>
                </pic:nvPicPr>
                <pic:blipFill rotWithShape="1">
                  <a:blip r:embed="rId1">
                    <a:extLst>
                      <a:ext uri="{28A0092B-C50C-407E-A947-70E740481C1C}">
                        <a14:useLocalDpi xmlns:a14="http://schemas.microsoft.com/office/drawing/2010/main" val="0"/>
                      </a:ext>
                    </a:extLst>
                  </a:blip>
                  <a:srcRect l="11291" t="10210" r="11291" b="-10210"/>
                  <a:stretch/>
                </pic:blipFill>
                <pic:spPr>
                  <a:xfrm>
                    <a:off x="0" y="0"/>
                    <a:ext cx="712800" cy="1026000"/>
                  </a:xfrm>
                  <a:prstGeom prst="rect">
                    <a:avLst/>
                  </a:prstGeom>
                  <a:ln/>
                </pic:spPr>
              </pic:pic>
            </a:graphicData>
          </a:graphic>
          <wp14:sizeRelH relativeFrom="margin">
            <wp14:pctWidth>0</wp14:pctWidth>
          </wp14:sizeRelH>
          <wp14:sizeRelV relativeFrom="margin">
            <wp14:pctHeight>0</wp14:pctHeight>
          </wp14:sizeRelV>
        </wp:anchor>
      </w:drawing>
    </w:r>
  </w:p>
  <w:tbl>
    <w:tblPr>
      <w:tblStyle w:val="Grigliatabella"/>
      <w:tblW w:w="8345" w:type="dxa"/>
      <w:tblInd w:w="13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8345"/>
    </w:tblGrid>
    <w:tr w:rsidR="00FA795D" w:rsidRPr="00FA795D" w14:paraId="41DBE3D3" w14:textId="77777777" w:rsidTr="009A2AD2">
      <w:trPr>
        <w:trHeight w:val="326"/>
      </w:trPr>
      <w:tc>
        <w:tcPr>
          <w:tcW w:w="8345" w:type="dxa"/>
          <w:tcBorders>
            <w:top w:val="single" w:sz="18" w:space="0" w:color="2D6CD2"/>
          </w:tcBorders>
        </w:tcPr>
        <w:p w14:paraId="221CB1C0" w14:textId="1BE7D748" w:rsidR="00FA795D" w:rsidRPr="00FA795D" w:rsidRDefault="00FA795D" w:rsidP="009A2AD2">
          <w:pPr>
            <w:pStyle w:val="SottotitoloINPS"/>
            <w:ind w:left="1134"/>
            <w:rPr>
              <w:sz w:val="8"/>
              <w:szCs w:val="8"/>
            </w:rPr>
          </w:pPr>
        </w:p>
      </w:tc>
    </w:tr>
    <w:tr w:rsidR="00FA795D" w:rsidRPr="00AA1868" w14:paraId="7AA76539" w14:textId="77777777" w:rsidTr="009A2AD2">
      <w:trPr>
        <w:trHeight w:val="114"/>
      </w:trPr>
      <w:tc>
        <w:tcPr>
          <w:tcW w:w="8345" w:type="dxa"/>
        </w:tcPr>
        <w:p w14:paraId="2BBFDDA9" w14:textId="01C4BCD6" w:rsidR="00FA795D" w:rsidRPr="00C12E21" w:rsidRDefault="00FA795D" w:rsidP="009A2AD2">
          <w:pPr>
            <w:spacing w:line="240" w:lineRule="exact"/>
            <w:rPr>
              <w:rFonts w:ascii="Titillium Web" w:hAnsi="Titillium Web"/>
              <w:b/>
              <w:color w:val="2F6DD5"/>
              <w:sz w:val="20"/>
              <w:szCs w:val="20"/>
            </w:rPr>
          </w:pPr>
          <w:r>
            <w:rPr>
              <w:rFonts w:ascii="Titillium Web" w:hAnsi="Titillium Web"/>
              <w:b/>
              <w:color w:val="2F6DD5"/>
              <w:sz w:val="20"/>
              <w:szCs w:val="20"/>
            </w:rPr>
            <w:t>D</w:t>
          </w:r>
          <w:r w:rsidRPr="0038145E">
            <w:rPr>
              <w:rFonts w:ascii="Titillium Web" w:hAnsi="Titillium Web"/>
              <w:b/>
              <w:color w:val="2F6DD5"/>
              <w:sz w:val="20"/>
              <w:szCs w:val="20"/>
            </w:rPr>
            <w:t xml:space="preserve">irezione </w:t>
          </w:r>
          <w:r w:rsidR="00462163">
            <w:rPr>
              <w:rFonts w:ascii="Titillium Web" w:hAnsi="Titillium Web"/>
              <w:b/>
              <w:color w:val="2F6DD5"/>
              <w:sz w:val="20"/>
              <w:szCs w:val="20"/>
            </w:rPr>
            <w:t>Provinciale Ferrara</w:t>
          </w:r>
          <w:r w:rsidRPr="0038145E">
            <w:rPr>
              <w:rFonts w:ascii="Titillium Web" w:hAnsi="Titillium Web"/>
              <w:b/>
              <w:color w:val="2F6DD5"/>
              <w:sz w:val="20"/>
              <w:szCs w:val="20"/>
            </w:rPr>
            <w:br/>
          </w:r>
        </w:p>
      </w:tc>
    </w:tr>
  </w:tbl>
  <w:p w14:paraId="33976FAA" w14:textId="658566CD" w:rsidR="007D6F26" w:rsidRPr="007D6F26" w:rsidRDefault="007D6F2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1663C"/>
    <w:multiLevelType w:val="hybridMultilevel"/>
    <w:tmpl w:val="A5FAE308"/>
    <w:lvl w:ilvl="0" w:tplc="4B626FF8">
      <w:start w:val="1"/>
      <w:numFmt w:val="bullet"/>
      <w:lvlText w:val=""/>
      <w:lvlJc w:val="left"/>
      <w:pPr>
        <w:ind w:left="720" w:hanging="360"/>
      </w:pPr>
      <w:rPr>
        <w:rFonts w:ascii="Symbol" w:hAnsi="Symbol" w:hint="default"/>
        <w:color w:val="auto"/>
      </w:rPr>
    </w:lvl>
    <w:lvl w:ilvl="1" w:tplc="FFFFFFFF">
      <w:numFmt w:val="bullet"/>
      <w:lvlText w:val="•"/>
      <w:lvlJc w:val="left"/>
      <w:pPr>
        <w:ind w:left="2775" w:hanging="1695"/>
      </w:pPr>
      <w:rPr>
        <w:rFonts w:ascii="Verdana" w:eastAsiaTheme="minorHAnsi" w:hAnsi="Verdana" w:cstheme="minorBid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6E42B16"/>
    <w:multiLevelType w:val="multilevel"/>
    <w:tmpl w:val="35A68A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4D845D9"/>
    <w:multiLevelType w:val="hybridMultilevel"/>
    <w:tmpl w:val="37CAA8A6"/>
    <w:lvl w:ilvl="0" w:tplc="04100009">
      <w:start w:val="1"/>
      <w:numFmt w:val="bullet"/>
      <w:lvlText w:val=""/>
      <w:lvlJc w:val="left"/>
      <w:pPr>
        <w:ind w:left="1440" w:hanging="360"/>
      </w:pPr>
      <w:rPr>
        <w:rFonts w:ascii="Wingdings" w:hAnsi="Wingdings" w:hint="default"/>
        <w:color w:val="auto"/>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558A4C74"/>
    <w:multiLevelType w:val="hybridMultilevel"/>
    <w:tmpl w:val="A902542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766836DD"/>
    <w:multiLevelType w:val="hybridMultilevel"/>
    <w:tmpl w:val="470C0AD0"/>
    <w:lvl w:ilvl="0" w:tplc="04100009">
      <w:start w:val="1"/>
      <w:numFmt w:val="bullet"/>
      <w:lvlText w:val=""/>
      <w:lvlJc w:val="left"/>
      <w:pPr>
        <w:ind w:left="720" w:hanging="360"/>
      </w:pPr>
      <w:rPr>
        <w:rFonts w:ascii="Wingdings" w:hAnsi="Wingdings" w:hint="default"/>
        <w:color w:val="auto"/>
      </w:rPr>
    </w:lvl>
    <w:lvl w:ilvl="1" w:tplc="8FD673EA">
      <w:numFmt w:val="bullet"/>
      <w:lvlText w:val="•"/>
      <w:lvlJc w:val="left"/>
      <w:pPr>
        <w:ind w:left="2775" w:hanging="1695"/>
      </w:pPr>
      <w:rPr>
        <w:rFonts w:ascii="Verdana" w:eastAsiaTheme="minorHAnsi" w:hAnsi="Verdana" w:cstheme="minorBid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7A4A3B7C"/>
    <w:multiLevelType w:val="hybridMultilevel"/>
    <w:tmpl w:val="9C388914"/>
    <w:lvl w:ilvl="0" w:tplc="4B626FF8">
      <w:start w:val="1"/>
      <w:numFmt w:val="bullet"/>
      <w:lvlText w:val=""/>
      <w:lvlJc w:val="left"/>
      <w:pPr>
        <w:ind w:left="1146" w:hanging="360"/>
      </w:pPr>
      <w:rPr>
        <w:rFonts w:ascii="Symbol" w:hAnsi="Symbol" w:hint="default"/>
      </w:rPr>
    </w:lvl>
    <w:lvl w:ilvl="1" w:tplc="04100003">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6" w15:restartNumberingAfterBreak="0">
    <w:nsid w:val="7B7879D9"/>
    <w:multiLevelType w:val="hybridMultilevel"/>
    <w:tmpl w:val="86005186"/>
    <w:lvl w:ilvl="0" w:tplc="04100001">
      <w:start w:val="1"/>
      <w:numFmt w:val="bullet"/>
      <w:lvlText w:val=""/>
      <w:lvlJc w:val="left"/>
      <w:pPr>
        <w:ind w:left="810" w:hanging="360"/>
      </w:pPr>
      <w:rPr>
        <w:rFonts w:ascii="Symbol" w:hAnsi="Symbol" w:hint="default"/>
      </w:rPr>
    </w:lvl>
    <w:lvl w:ilvl="1" w:tplc="04100003" w:tentative="1">
      <w:start w:val="1"/>
      <w:numFmt w:val="bullet"/>
      <w:lvlText w:val="o"/>
      <w:lvlJc w:val="left"/>
      <w:pPr>
        <w:ind w:left="1530" w:hanging="360"/>
      </w:pPr>
      <w:rPr>
        <w:rFonts w:ascii="Courier New" w:hAnsi="Courier New" w:cs="Courier New" w:hint="default"/>
      </w:rPr>
    </w:lvl>
    <w:lvl w:ilvl="2" w:tplc="04100005" w:tentative="1">
      <w:start w:val="1"/>
      <w:numFmt w:val="bullet"/>
      <w:lvlText w:val=""/>
      <w:lvlJc w:val="left"/>
      <w:pPr>
        <w:ind w:left="2250" w:hanging="360"/>
      </w:pPr>
      <w:rPr>
        <w:rFonts w:ascii="Wingdings" w:hAnsi="Wingdings" w:hint="default"/>
      </w:rPr>
    </w:lvl>
    <w:lvl w:ilvl="3" w:tplc="04100001" w:tentative="1">
      <w:start w:val="1"/>
      <w:numFmt w:val="bullet"/>
      <w:lvlText w:val=""/>
      <w:lvlJc w:val="left"/>
      <w:pPr>
        <w:ind w:left="2970" w:hanging="360"/>
      </w:pPr>
      <w:rPr>
        <w:rFonts w:ascii="Symbol" w:hAnsi="Symbol" w:hint="default"/>
      </w:rPr>
    </w:lvl>
    <w:lvl w:ilvl="4" w:tplc="04100003" w:tentative="1">
      <w:start w:val="1"/>
      <w:numFmt w:val="bullet"/>
      <w:lvlText w:val="o"/>
      <w:lvlJc w:val="left"/>
      <w:pPr>
        <w:ind w:left="3690" w:hanging="360"/>
      </w:pPr>
      <w:rPr>
        <w:rFonts w:ascii="Courier New" w:hAnsi="Courier New" w:cs="Courier New" w:hint="default"/>
      </w:rPr>
    </w:lvl>
    <w:lvl w:ilvl="5" w:tplc="04100005" w:tentative="1">
      <w:start w:val="1"/>
      <w:numFmt w:val="bullet"/>
      <w:lvlText w:val=""/>
      <w:lvlJc w:val="left"/>
      <w:pPr>
        <w:ind w:left="4410" w:hanging="360"/>
      </w:pPr>
      <w:rPr>
        <w:rFonts w:ascii="Wingdings" w:hAnsi="Wingdings" w:hint="default"/>
      </w:rPr>
    </w:lvl>
    <w:lvl w:ilvl="6" w:tplc="04100001" w:tentative="1">
      <w:start w:val="1"/>
      <w:numFmt w:val="bullet"/>
      <w:lvlText w:val=""/>
      <w:lvlJc w:val="left"/>
      <w:pPr>
        <w:ind w:left="5130" w:hanging="360"/>
      </w:pPr>
      <w:rPr>
        <w:rFonts w:ascii="Symbol" w:hAnsi="Symbol" w:hint="default"/>
      </w:rPr>
    </w:lvl>
    <w:lvl w:ilvl="7" w:tplc="04100003" w:tentative="1">
      <w:start w:val="1"/>
      <w:numFmt w:val="bullet"/>
      <w:lvlText w:val="o"/>
      <w:lvlJc w:val="left"/>
      <w:pPr>
        <w:ind w:left="5850" w:hanging="360"/>
      </w:pPr>
      <w:rPr>
        <w:rFonts w:ascii="Courier New" w:hAnsi="Courier New" w:cs="Courier New" w:hint="default"/>
      </w:rPr>
    </w:lvl>
    <w:lvl w:ilvl="8" w:tplc="04100005" w:tentative="1">
      <w:start w:val="1"/>
      <w:numFmt w:val="bullet"/>
      <w:lvlText w:val=""/>
      <w:lvlJc w:val="left"/>
      <w:pPr>
        <w:ind w:left="6570" w:hanging="360"/>
      </w:pPr>
      <w:rPr>
        <w:rFonts w:ascii="Wingdings" w:hAnsi="Wingdings" w:hint="default"/>
      </w:rPr>
    </w:lvl>
  </w:abstractNum>
  <w:num w:numId="1" w16cid:durableId="1007094452">
    <w:abstractNumId w:val="4"/>
  </w:num>
  <w:num w:numId="2" w16cid:durableId="1882671550">
    <w:abstractNumId w:val="2"/>
  </w:num>
  <w:num w:numId="3" w16cid:durableId="900559618">
    <w:abstractNumId w:val="1"/>
  </w:num>
  <w:num w:numId="4" w16cid:durableId="182398505">
    <w:abstractNumId w:val="6"/>
  </w:num>
  <w:num w:numId="5" w16cid:durableId="912467128">
    <w:abstractNumId w:val="5"/>
  </w:num>
  <w:num w:numId="6" w16cid:durableId="2007323452">
    <w:abstractNumId w:val="0"/>
  </w:num>
  <w:num w:numId="7" w16cid:durableId="102282315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6F26"/>
    <w:rsid w:val="00047333"/>
    <w:rsid w:val="00047489"/>
    <w:rsid w:val="000638A7"/>
    <w:rsid w:val="000716A3"/>
    <w:rsid w:val="0009134F"/>
    <w:rsid w:val="000B1FDB"/>
    <w:rsid w:val="000C1E15"/>
    <w:rsid w:val="000C66EC"/>
    <w:rsid w:val="000F1F0A"/>
    <w:rsid w:val="001274ED"/>
    <w:rsid w:val="00155FAD"/>
    <w:rsid w:val="00165553"/>
    <w:rsid w:val="00172ADF"/>
    <w:rsid w:val="0017637F"/>
    <w:rsid w:val="001918AF"/>
    <w:rsid w:val="00195160"/>
    <w:rsid w:val="001B5EEE"/>
    <w:rsid w:val="001B77F3"/>
    <w:rsid w:val="001C694C"/>
    <w:rsid w:val="002101BD"/>
    <w:rsid w:val="00217AEB"/>
    <w:rsid w:val="0024541B"/>
    <w:rsid w:val="00245E77"/>
    <w:rsid w:val="0025046B"/>
    <w:rsid w:val="00265B56"/>
    <w:rsid w:val="002A1894"/>
    <w:rsid w:val="002A6B8C"/>
    <w:rsid w:val="002D04EE"/>
    <w:rsid w:val="002D3F88"/>
    <w:rsid w:val="002D75CD"/>
    <w:rsid w:val="0030249F"/>
    <w:rsid w:val="003365AE"/>
    <w:rsid w:val="003369C6"/>
    <w:rsid w:val="00340D6B"/>
    <w:rsid w:val="003440B3"/>
    <w:rsid w:val="00344317"/>
    <w:rsid w:val="0035387B"/>
    <w:rsid w:val="00356EEB"/>
    <w:rsid w:val="00376545"/>
    <w:rsid w:val="0037717F"/>
    <w:rsid w:val="0038145E"/>
    <w:rsid w:val="003A4D82"/>
    <w:rsid w:val="003C1AD1"/>
    <w:rsid w:val="003C29A1"/>
    <w:rsid w:val="003C6734"/>
    <w:rsid w:val="003D0147"/>
    <w:rsid w:val="003E14A5"/>
    <w:rsid w:val="00421227"/>
    <w:rsid w:val="00431948"/>
    <w:rsid w:val="00446CC8"/>
    <w:rsid w:val="00462163"/>
    <w:rsid w:val="00494BD5"/>
    <w:rsid w:val="004A02A7"/>
    <w:rsid w:val="004B3DD0"/>
    <w:rsid w:val="004D21F4"/>
    <w:rsid w:val="004D6482"/>
    <w:rsid w:val="00521AC9"/>
    <w:rsid w:val="005333BC"/>
    <w:rsid w:val="0054562B"/>
    <w:rsid w:val="00573E16"/>
    <w:rsid w:val="00577C4B"/>
    <w:rsid w:val="00580A3B"/>
    <w:rsid w:val="00580BC8"/>
    <w:rsid w:val="005E6E97"/>
    <w:rsid w:val="005F0F3E"/>
    <w:rsid w:val="00606509"/>
    <w:rsid w:val="00611759"/>
    <w:rsid w:val="00650700"/>
    <w:rsid w:val="006B347D"/>
    <w:rsid w:val="006C7251"/>
    <w:rsid w:val="006E5950"/>
    <w:rsid w:val="00700620"/>
    <w:rsid w:val="0070522B"/>
    <w:rsid w:val="00711879"/>
    <w:rsid w:val="0071394E"/>
    <w:rsid w:val="007268B6"/>
    <w:rsid w:val="00743DC9"/>
    <w:rsid w:val="0074480E"/>
    <w:rsid w:val="007478AD"/>
    <w:rsid w:val="00755C55"/>
    <w:rsid w:val="00757B0E"/>
    <w:rsid w:val="00767727"/>
    <w:rsid w:val="00782EDF"/>
    <w:rsid w:val="00785379"/>
    <w:rsid w:val="007A5738"/>
    <w:rsid w:val="007D6F26"/>
    <w:rsid w:val="007F40F6"/>
    <w:rsid w:val="00800345"/>
    <w:rsid w:val="008033B5"/>
    <w:rsid w:val="00823628"/>
    <w:rsid w:val="0083171C"/>
    <w:rsid w:val="00833DBC"/>
    <w:rsid w:val="00840CD6"/>
    <w:rsid w:val="00850C0D"/>
    <w:rsid w:val="00853509"/>
    <w:rsid w:val="0085517D"/>
    <w:rsid w:val="0086342C"/>
    <w:rsid w:val="0088070C"/>
    <w:rsid w:val="008A16A5"/>
    <w:rsid w:val="008A3151"/>
    <w:rsid w:val="008B39E1"/>
    <w:rsid w:val="008B4604"/>
    <w:rsid w:val="008E0ABE"/>
    <w:rsid w:val="008F0AC8"/>
    <w:rsid w:val="008F2FEE"/>
    <w:rsid w:val="0094039F"/>
    <w:rsid w:val="00950866"/>
    <w:rsid w:val="00951865"/>
    <w:rsid w:val="00961EE7"/>
    <w:rsid w:val="00970D9C"/>
    <w:rsid w:val="009A2AD2"/>
    <w:rsid w:val="009E3012"/>
    <w:rsid w:val="009E53C9"/>
    <w:rsid w:val="009F086A"/>
    <w:rsid w:val="009F4AA3"/>
    <w:rsid w:val="00A36EEF"/>
    <w:rsid w:val="00A521FE"/>
    <w:rsid w:val="00A53378"/>
    <w:rsid w:val="00A65489"/>
    <w:rsid w:val="00A65983"/>
    <w:rsid w:val="00A7136A"/>
    <w:rsid w:val="00A85920"/>
    <w:rsid w:val="00A926F1"/>
    <w:rsid w:val="00AA1868"/>
    <w:rsid w:val="00AA7B39"/>
    <w:rsid w:val="00AB0197"/>
    <w:rsid w:val="00AB6A26"/>
    <w:rsid w:val="00AE386C"/>
    <w:rsid w:val="00AE58D5"/>
    <w:rsid w:val="00AF684A"/>
    <w:rsid w:val="00AF7588"/>
    <w:rsid w:val="00B015AA"/>
    <w:rsid w:val="00B740CF"/>
    <w:rsid w:val="00BA2AEE"/>
    <w:rsid w:val="00BB74EF"/>
    <w:rsid w:val="00BC7A69"/>
    <w:rsid w:val="00BD1042"/>
    <w:rsid w:val="00BD591F"/>
    <w:rsid w:val="00BF24F9"/>
    <w:rsid w:val="00C0087B"/>
    <w:rsid w:val="00C1051C"/>
    <w:rsid w:val="00C12E21"/>
    <w:rsid w:val="00C30546"/>
    <w:rsid w:val="00C446CA"/>
    <w:rsid w:val="00C464FA"/>
    <w:rsid w:val="00C834E5"/>
    <w:rsid w:val="00CA2957"/>
    <w:rsid w:val="00CA3783"/>
    <w:rsid w:val="00CA41E5"/>
    <w:rsid w:val="00CD6492"/>
    <w:rsid w:val="00CF7129"/>
    <w:rsid w:val="00D12E0A"/>
    <w:rsid w:val="00D36355"/>
    <w:rsid w:val="00D44C58"/>
    <w:rsid w:val="00D53BFF"/>
    <w:rsid w:val="00D702AC"/>
    <w:rsid w:val="00D761F9"/>
    <w:rsid w:val="00D85795"/>
    <w:rsid w:val="00D869B1"/>
    <w:rsid w:val="00D921F0"/>
    <w:rsid w:val="00DA34C3"/>
    <w:rsid w:val="00DB0654"/>
    <w:rsid w:val="00DC3B6C"/>
    <w:rsid w:val="00DD4E49"/>
    <w:rsid w:val="00DD76BB"/>
    <w:rsid w:val="00DF361A"/>
    <w:rsid w:val="00E070FA"/>
    <w:rsid w:val="00E46778"/>
    <w:rsid w:val="00EA3F02"/>
    <w:rsid w:val="00EB4F3C"/>
    <w:rsid w:val="00EB5A42"/>
    <w:rsid w:val="00F204E3"/>
    <w:rsid w:val="00F205ED"/>
    <w:rsid w:val="00F209CB"/>
    <w:rsid w:val="00F22B28"/>
    <w:rsid w:val="00FA795D"/>
    <w:rsid w:val="00FC1A0E"/>
    <w:rsid w:val="00FF33E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2AD26E"/>
  <w15:chartTrackingRefBased/>
  <w15:docId w15:val="{D7310E91-798D-D443-81B3-22385A72E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C694C"/>
    <w:rPr>
      <w:rFonts w:ascii="Calibri" w:hAnsi="Calibri" w:cs="Calibri"/>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ottotitoloINPS">
    <w:name w:val="Sottotitolo INPS"/>
    <w:qFormat/>
    <w:rsid w:val="007D6F26"/>
    <w:pPr>
      <w:spacing w:line="276" w:lineRule="auto"/>
    </w:pPr>
    <w:rPr>
      <w:rFonts w:ascii="Titillium Web" w:eastAsia="Arial" w:hAnsi="Titillium Web" w:cs="Arial"/>
      <w:b/>
      <w:bCs/>
      <w:lang w:eastAsia="it-IT"/>
    </w:rPr>
  </w:style>
  <w:style w:type="paragraph" w:styleId="Intestazione">
    <w:name w:val="header"/>
    <w:basedOn w:val="Normale"/>
    <w:link w:val="IntestazioneCarattere"/>
    <w:uiPriority w:val="99"/>
    <w:unhideWhenUsed/>
    <w:rsid w:val="007D6F26"/>
    <w:pPr>
      <w:tabs>
        <w:tab w:val="center" w:pos="4819"/>
        <w:tab w:val="right" w:pos="9638"/>
      </w:tabs>
    </w:pPr>
  </w:style>
  <w:style w:type="character" w:customStyle="1" w:styleId="IntestazioneCarattere">
    <w:name w:val="Intestazione Carattere"/>
    <w:basedOn w:val="Carpredefinitoparagrafo"/>
    <w:link w:val="Intestazione"/>
    <w:uiPriority w:val="99"/>
    <w:rsid w:val="007D6F26"/>
  </w:style>
  <w:style w:type="paragraph" w:styleId="Pidipagina">
    <w:name w:val="footer"/>
    <w:basedOn w:val="Normale"/>
    <w:link w:val="PidipaginaCarattere"/>
    <w:uiPriority w:val="99"/>
    <w:unhideWhenUsed/>
    <w:rsid w:val="007D6F26"/>
    <w:pPr>
      <w:tabs>
        <w:tab w:val="center" w:pos="4819"/>
        <w:tab w:val="right" w:pos="9638"/>
      </w:tabs>
    </w:pPr>
  </w:style>
  <w:style w:type="character" w:customStyle="1" w:styleId="PidipaginaCarattere">
    <w:name w:val="Piè di pagina Carattere"/>
    <w:basedOn w:val="Carpredefinitoparagrafo"/>
    <w:link w:val="Pidipagina"/>
    <w:uiPriority w:val="99"/>
    <w:rsid w:val="007D6F26"/>
  </w:style>
  <w:style w:type="paragraph" w:customStyle="1" w:styleId="ParagrafoINPS">
    <w:name w:val="Paragrafo INPS"/>
    <w:basedOn w:val="Normale"/>
    <w:autoRedefine/>
    <w:qFormat/>
    <w:rsid w:val="0086342C"/>
    <w:rPr>
      <w:rFonts w:ascii="Titillium Web" w:hAnsi="Titillium Web"/>
      <w:szCs w:val="24"/>
    </w:rPr>
  </w:style>
  <w:style w:type="character" w:styleId="Collegamentoipertestuale">
    <w:name w:val="Hyperlink"/>
    <w:basedOn w:val="Carpredefinitoparagrafo"/>
    <w:uiPriority w:val="99"/>
    <w:unhideWhenUsed/>
    <w:rsid w:val="0038145E"/>
    <w:rPr>
      <w:color w:val="0000FF"/>
      <w:u w:val="single"/>
    </w:rPr>
  </w:style>
  <w:style w:type="character" w:styleId="Menzionenonrisolta">
    <w:name w:val="Unresolved Mention"/>
    <w:basedOn w:val="Carpredefinitoparagrafo"/>
    <w:uiPriority w:val="99"/>
    <w:semiHidden/>
    <w:unhideWhenUsed/>
    <w:rsid w:val="0038145E"/>
    <w:rPr>
      <w:color w:val="605E5C"/>
      <w:shd w:val="clear" w:color="auto" w:fill="E1DFDD"/>
    </w:rPr>
  </w:style>
  <w:style w:type="table" w:styleId="Grigliatabella">
    <w:name w:val="Table Grid"/>
    <w:basedOn w:val="Tabellanormale"/>
    <w:uiPriority w:val="39"/>
    <w:rsid w:val="00C12E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8A3151"/>
    <w:pPr>
      <w:ind w:left="720"/>
      <w:contextualSpacing/>
    </w:pPr>
  </w:style>
  <w:style w:type="paragraph" w:styleId="NormaleWeb">
    <w:name w:val="Normal (Web)"/>
    <w:basedOn w:val="Normale"/>
    <w:uiPriority w:val="99"/>
    <w:semiHidden/>
    <w:unhideWhenUsed/>
    <w:rsid w:val="00DD4E49"/>
    <w:pPr>
      <w:spacing w:before="100" w:beforeAutospacing="1" w:after="100" w:afterAutospacing="1"/>
    </w:pPr>
    <w:rPr>
      <w:lang w:eastAsia="it-IT"/>
    </w:rPr>
  </w:style>
  <w:style w:type="paragraph" w:customStyle="1" w:styleId="Default">
    <w:name w:val="Default"/>
    <w:basedOn w:val="Normale"/>
    <w:rsid w:val="00AB0197"/>
    <w:pPr>
      <w:autoSpaceDE w:val="0"/>
      <w:autoSpaceDN w:val="0"/>
    </w:pPr>
    <w:rPr>
      <w:rFonts w:ascii="Verdana" w:hAnsi="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776653">
      <w:bodyDiv w:val="1"/>
      <w:marLeft w:val="0"/>
      <w:marRight w:val="0"/>
      <w:marTop w:val="0"/>
      <w:marBottom w:val="0"/>
      <w:divBdr>
        <w:top w:val="none" w:sz="0" w:space="0" w:color="auto"/>
        <w:left w:val="none" w:sz="0" w:space="0" w:color="auto"/>
        <w:bottom w:val="none" w:sz="0" w:space="0" w:color="auto"/>
        <w:right w:val="none" w:sz="0" w:space="0" w:color="auto"/>
      </w:divBdr>
    </w:div>
    <w:div w:id="360866808">
      <w:bodyDiv w:val="1"/>
      <w:marLeft w:val="0"/>
      <w:marRight w:val="0"/>
      <w:marTop w:val="0"/>
      <w:marBottom w:val="0"/>
      <w:divBdr>
        <w:top w:val="none" w:sz="0" w:space="0" w:color="auto"/>
        <w:left w:val="none" w:sz="0" w:space="0" w:color="auto"/>
        <w:bottom w:val="none" w:sz="0" w:space="0" w:color="auto"/>
        <w:right w:val="none" w:sz="0" w:space="0" w:color="auto"/>
      </w:divBdr>
    </w:div>
    <w:div w:id="726729451">
      <w:bodyDiv w:val="1"/>
      <w:marLeft w:val="0"/>
      <w:marRight w:val="0"/>
      <w:marTop w:val="0"/>
      <w:marBottom w:val="0"/>
      <w:divBdr>
        <w:top w:val="none" w:sz="0" w:space="0" w:color="auto"/>
        <w:left w:val="none" w:sz="0" w:space="0" w:color="auto"/>
        <w:bottom w:val="none" w:sz="0" w:space="0" w:color="auto"/>
        <w:right w:val="none" w:sz="0" w:space="0" w:color="auto"/>
      </w:divBdr>
    </w:div>
    <w:div w:id="953558126">
      <w:bodyDiv w:val="1"/>
      <w:marLeft w:val="0"/>
      <w:marRight w:val="0"/>
      <w:marTop w:val="0"/>
      <w:marBottom w:val="0"/>
      <w:divBdr>
        <w:top w:val="none" w:sz="0" w:space="0" w:color="auto"/>
        <w:left w:val="none" w:sz="0" w:space="0" w:color="auto"/>
        <w:bottom w:val="none" w:sz="0" w:space="0" w:color="auto"/>
        <w:right w:val="none" w:sz="0" w:space="0" w:color="auto"/>
      </w:divBdr>
    </w:div>
    <w:div w:id="1021316497">
      <w:bodyDiv w:val="1"/>
      <w:marLeft w:val="0"/>
      <w:marRight w:val="0"/>
      <w:marTop w:val="0"/>
      <w:marBottom w:val="0"/>
      <w:divBdr>
        <w:top w:val="none" w:sz="0" w:space="0" w:color="auto"/>
        <w:left w:val="none" w:sz="0" w:space="0" w:color="auto"/>
        <w:bottom w:val="none" w:sz="0" w:space="0" w:color="auto"/>
        <w:right w:val="none" w:sz="0" w:space="0" w:color="auto"/>
      </w:divBdr>
    </w:div>
    <w:div w:id="1132207642">
      <w:bodyDiv w:val="1"/>
      <w:marLeft w:val="0"/>
      <w:marRight w:val="0"/>
      <w:marTop w:val="0"/>
      <w:marBottom w:val="0"/>
      <w:divBdr>
        <w:top w:val="none" w:sz="0" w:space="0" w:color="auto"/>
        <w:left w:val="none" w:sz="0" w:space="0" w:color="auto"/>
        <w:bottom w:val="none" w:sz="0" w:space="0" w:color="auto"/>
        <w:right w:val="none" w:sz="0" w:space="0" w:color="auto"/>
      </w:divBdr>
    </w:div>
    <w:div w:id="1227956363">
      <w:bodyDiv w:val="1"/>
      <w:marLeft w:val="0"/>
      <w:marRight w:val="0"/>
      <w:marTop w:val="0"/>
      <w:marBottom w:val="0"/>
      <w:divBdr>
        <w:top w:val="none" w:sz="0" w:space="0" w:color="auto"/>
        <w:left w:val="none" w:sz="0" w:space="0" w:color="auto"/>
        <w:bottom w:val="none" w:sz="0" w:space="0" w:color="auto"/>
        <w:right w:val="none" w:sz="0" w:space="0" w:color="auto"/>
      </w:divBdr>
    </w:div>
    <w:div w:id="1807047734">
      <w:bodyDiv w:val="1"/>
      <w:marLeft w:val="0"/>
      <w:marRight w:val="0"/>
      <w:marTop w:val="0"/>
      <w:marBottom w:val="0"/>
      <w:divBdr>
        <w:top w:val="none" w:sz="0" w:space="0" w:color="auto"/>
        <w:left w:val="none" w:sz="0" w:space="0" w:color="auto"/>
        <w:bottom w:val="none" w:sz="0" w:space="0" w:color="auto"/>
        <w:right w:val="none" w:sz="0" w:space="0" w:color="auto"/>
      </w:divBdr>
    </w:div>
    <w:div w:id="2068406577">
      <w:bodyDiv w:val="1"/>
      <w:marLeft w:val="0"/>
      <w:marRight w:val="0"/>
      <w:marTop w:val="0"/>
      <w:marBottom w:val="0"/>
      <w:divBdr>
        <w:top w:val="none" w:sz="0" w:space="0" w:color="auto"/>
        <w:left w:val="none" w:sz="0" w:space="0" w:color="auto"/>
        <w:bottom w:val="none" w:sz="0" w:space="0" w:color="auto"/>
        <w:right w:val="none" w:sz="0" w:space="0" w:color="auto"/>
      </w:divBdr>
    </w:div>
    <w:div w:id="2070569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rezione.ferrara@inps.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3" Type="http://schemas.openxmlformats.org/officeDocument/2006/relationships/hyperlink" Target="http://www.inps.it" TargetMode="External"/><Relationship Id="rId2" Type="http://schemas.openxmlformats.org/officeDocument/2006/relationships/hyperlink" Target="mailto:direzione.provinciale.ferrara@postacert.inps.gov.it"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10FA48-7D18-4B2F-8DAA-8DE43A2443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803</Words>
  <Characters>4579</Characters>
  <Application>Microsoft Office Word</Application>
  <DocSecurity>4</DocSecurity>
  <Lines>38</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Sketchin Team</dc:creator>
  <cp:keywords/>
  <dc:description/>
  <cp:lastModifiedBy>Gloria Canetti – ODCEC Ferrara</cp:lastModifiedBy>
  <cp:revision>2</cp:revision>
  <cp:lastPrinted>2024-04-05T09:33:00Z</cp:lastPrinted>
  <dcterms:created xsi:type="dcterms:W3CDTF">2025-04-15T06:33:00Z</dcterms:created>
  <dcterms:modified xsi:type="dcterms:W3CDTF">2025-04-15T06:33:00Z</dcterms:modified>
</cp:coreProperties>
</file>