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1E9" w:rsidRPr="00925EA8" w:rsidRDefault="003A00E7" w:rsidP="003A00E7">
      <w:pPr>
        <w:jc w:val="center"/>
        <w:rPr>
          <w:rFonts w:ascii="Arial" w:hAnsi="Arial" w:cs="Arial"/>
          <w:b/>
          <w:bCs/>
        </w:rPr>
      </w:pPr>
      <w:r w:rsidRPr="00925EA8">
        <w:rPr>
          <w:rFonts w:ascii="Arial" w:hAnsi="Arial" w:cs="Arial"/>
          <w:b/>
          <w:bCs/>
        </w:rPr>
        <w:t>Questioni relative a tutte le procedure</w:t>
      </w:r>
    </w:p>
    <w:p w:rsidR="003A00E7" w:rsidRPr="00925EA8" w:rsidRDefault="003A00E7">
      <w:pPr>
        <w:rPr>
          <w:rFonts w:ascii="Arial" w:hAnsi="Arial" w:cs="Arial"/>
        </w:rPr>
      </w:pPr>
    </w:p>
    <w:p w:rsidR="003A00E7" w:rsidRPr="00925EA8" w:rsidRDefault="003A00E7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Ammissibilità gratuito </w:t>
      </w:r>
      <w:proofErr w:type="gramStart"/>
      <w:r w:rsidRPr="00925EA8">
        <w:rPr>
          <w:rFonts w:ascii="Arial" w:hAnsi="Arial" w:cs="Arial"/>
        </w:rPr>
        <w:t>patrocinio ?</w:t>
      </w:r>
      <w:proofErr w:type="gramEnd"/>
      <w:r w:rsidRPr="00925EA8">
        <w:rPr>
          <w:rFonts w:ascii="Arial" w:hAnsi="Arial" w:cs="Arial"/>
        </w:rPr>
        <w:t xml:space="preserve"> Trib. Forlì 21.2.2024 dice no e revoca delibera CoA di ammissione al beneficio</w:t>
      </w:r>
    </w:p>
    <w:p w:rsidR="003A00E7" w:rsidRPr="00925EA8" w:rsidRDefault="003A00E7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Prenotazione a </w:t>
      </w:r>
      <w:proofErr w:type="gramStart"/>
      <w:r w:rsidRPr="00925EA8">
        <w:rPr>
          <w:rFonts w:ascii="Arial" w:hAnsi="Arial" w:cs="Arial"/>
        </w:rPr>
        <w:t>debito ?</w:t>
      </w:r>
      <w:proofErr w:type="gramEnd"/>
      <w:r w:rsidRPr="00925EA8">
        <w:rPr>
          <w:rFonts w:ascii="Arial" w:hAnsi="Arial" w:cs="Arial"/>
        </w:rPr>
        <w:t xml:space="preserve"> (Trib. Brescia 14.12.2023 dice sì)</w:t>
      </w:r>
    </w:p>
    <w:p w:rsidR="003A00E7" w:rsidRPr="00925EA8" w:rsidRDefault="003A00E7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>Autorizzazione all’accesso alle banche dati prima della domanda di apertura della procedura (Tribunale di Pistoia, Tribunale di Rimini, applicazione art. 15 l. 3/</w:t>
      </w:r>
      <w:proofErr w:type="gramStart"/>
      <w:r w:rsidRPr="00925EA8">
        <w:rPr>
          <w:rFonts w:ascii="Arial" w:hAnsi="Arial" w:cs="Arial"/>
        </w:rPr>
        <w:t>2012 ?</w:t>
      </w:r>
      <w:proofErr w:type="gramEnd"/>
      <w:r w:rsidRPr="00925EA8">
        <w:rPr>
          <w:rFonts w:ascii="Arial" w:hAnsi="Arial" w:cs="Arial"/>
        </w:rPr>
        <w:t xml:space="preserve"> applicazione art. 42 e 49 CCII?)</w:t>
      </w:r>
    </w:p>
    <w:p w:rsidR="003A00E7" w:rsidRPr="00925EA8" w:rsidRDefault="003A00E7" w:rsidP="003A00E7">
      <w:pPr>
        <w:pStyle w:val="Paragrafoelenco"/>
        <w:rPr>
          <w:rFonts w:ascii="Arial" w:hAnsi="Arial" w:cs="Arial"/>
        </w:rPr>
      </w:pPr>
    </w:p>
    <w:p w:rsidR="003A00E7" w:rsidRPr="00925EA8" w:rsidRDefault="003A00E7" w:rsidP="003A00E7">
      <w:pPr>
        <w:pStyle w:val="Paragrafoelenco"/>
        <w:jc w:val="center"/>
        <w:rPr>
          <w:rFonts w:ascii="Arial" w:hAnsi="Arial" w:cs="Arial"/>
          <w:b/>
          <w:bCs/>
        </w:rPr>
      </w:pPr>
      <w:r w:rsidRPr="00925EA8">
        <w:rPr>
          <w:rFonts w:ascii="Arial" w:hAnsi="Arial" w:cs="Arial"/>
          <w:b/>
          <w:bCs/>
        </w:rPr>
        <w:t>Liquidazione Controllata</w:t>
      </w:r>
    </w:p>
    <w:p w:rsidR="00925EA8" w:rsidRPr="00925EA8" w:rsidRDefault="00925EA8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Apertura liquidazione con flussi </w:t>
      </w:r>
      <w:proofErr w:type="gramStart"/>
      <w:r w:rsidRPr="00925EA8">
        <w:rPr>
          <w:rFonts w:ascii="Arial" w:hAnsi="Arial" w:cs="Arial"/>
        </w:rPr>
        <w:t>antieconomici ?</w:t>
      </w:r>
      <w:proofErr w:type="gramEnd"/>
      <w:r w:rsidRPr="00925EA8">
        <w:rPr>
          <w:rFonts w:ascii="Arial" w:hAnsi="Arial" w:cs="Arial"/>
        </w:rPr>
        <w:t xml:space="preserve"> Trib. Rimini 23.12.2022 dice che è inammissibile</w:t>
      </w:r>
    </w:p>
    <w:p w:rsidR="003A00E7" w:rsidRPr="00925EA8" w:rsidRDefault="003A00E7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Apertura della liquidazione solo con finanza </w:t>
      </w:r>
      <w:proofErr w:type="gramStart"/>
      <w:r w:rsidRPr="00925EA8">
        <w:rPr>
          <w:rFonts w:ascii="Arial" w:hAnsi="Arial" w:cs="Arial"/>
        </w:rPr>
        <w:t>esterna ?</w:t>
      </w:r>
      <w:proofErr w:type="gramEnd"/>
      <w:r w:rsidR="00620B01" w:rsidRPr="00925EA8">
        <w:rPr>
          <w:rFonts w:ascii="Arial" w:hAnsi="Arial" w:cs="Arial"/>
        </w:rPr>
        <w:t xml:space="preserve"> Trib. Parma 20.9.2023 e Trib. Bolzano 19.9.2023 </w:t>
      </w:r>
      <w:proofErr w:type="gramStart"/>
      <w:r w:rsidR="00620B01" w:rsidRPr="00925EA8">
        <w:rPr>
          <w:rFonts w:ascii="Arial" w:hAnsi="Arial" w:cs="Arial"/>
        </w:rPr>
        <w:t>dicono sì</w:t>
      </w:r>
      <w:proofErr w:type="gramEnd"/>
      <w:r w:rsidR="00620B01" w:rsidRPr="00925EA8">
        <w:rPr>
          <w:rFonts w:ascii="Arial" w:hAnsi="Arial" w:cs="Arial"/>
        </w:rPr>
        <w:t xml:space="preserve">, Trib. </w:t>
      </w:r>
      <w:proofErr w:type="gramStart"/>
      <w:r w:rsidR="00620B01" w:rsidRPr="00925EA8">
        <w:rPr>
          <w:rFonts w:ascii="Arial" w:hAnsi="Arial" w:cs="Arial"/>
        </w:rPr>
        <w:t xml:space="preserve">Rimini </w:t>
      </w:r>
      <w:r w:rsidR="006B2724">
        <w:rPr>
          <w:rFonts w:ascii="Arial" w:hAnsi="Arial" w:cs="Arial"/>
        </w:rPr>
        <w:t xml:space="preserve"> e</w:t>
      </w:r>
      <w:proofErr w:type="gramEnd"/>
      <w:r w:rsidR="006B2724">
        <w:rPr>
          <w:rFonts w:ascii="Arial" w:hAnsi="Arial" w:cs="Arial"/>
        </w:rPr>
        <w:t xml:space="preserve"> T Bergamo </w:t>
      </w:r>
      <w:r w:rsidR="00620B01" w:rsidRPr="00925EA8">
        <w:rPr>
          <w:rFonts w:ascii="Arial" w:hAnsi="Arial" w:cs="Arial"/>
        </w:rPr>
        <w:t>dic</w:t>
      </w:r>
      <w:r w:rsidR="006B2724">
        <w:rPr>
          <w:rFonts w:ascii="Arial" w:hAnsi="Arial" w:cs="Arial"/>
        </w:rPr>
        <w:t>ono</w:t>
      </w:r>
      <w:r w:rsidR="00620B01" w:rsidRPr="00925EA8">
        <w:rPr>
          <w:rFonts w:ascii="Arial" w:hAnsi="Arial" w:cs="Arial"/>
        </w:rPr>
        <w:t xml:space="preserve"> no</w:t>
      </w:r>
    </w:p>
    <w:p w:rsidR="002B4A7C" w:rsidRPr="00925EA8" w:rsidRDefault="002B4A7C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Diritto del debitore ad abitare la casa fino all’aggiudicazione (Trib. Ferrara 7.12.2023, resa in sede di reclamo, </w:t>
      </w:r>
      <w:r w:rsidR="00925EA8" w:rsidRPr="00925EA8">
        <w:rPr>
          <w:rFonts w:ascii="Arial" w:hAnsi="Arial" w:cs="Arial"/>
        </w:rPr>
        <w:t xml:space="preserve">stabilisce non luogo a provvedere per </w:t>
      </w:r>
      <w:r w:rsidRPr="00925EA8">
        <w:rPr>
          <w:rFonts w:ascii="Arial" w:hAnsi="Arial" w:cs="Arial"/>
        </w:rPr>
        <w:t xml:space="preserve">applicazione </w:t>
      </w:r>
      <w:r w:rsidR="00925EA8" w:rsidRPr="00925EA8">
        <w:rPr>
          <w:rFonts w:ascii="Arial" w:hAnsi="Arial" w:cs="Arial"/>
        </w:rPr>
        <w:t xml:space="preserve">diretta </w:t>
      </w:r>
      <w:r w:rsidRPr="00925EA8">
        <w:rPr>
          <w:rFonts w:ascii="Arial" w:hAnsi="Arial" w:cs="Arial"/>
        </w:rPr>
        <w:t>del 147, co.</w:t>
      </w:r>
      <w:proofErr w:type="gramStart"/>
      <w:r w:rsidRPr="00925EA8">
        <w:rPr>
          <w:rFonts w:ascii="Arial" w:hAnsi="Arial" w:cs="Arial"/>
        </w:rPr>
        <w:t>2,  CCII</w:t>
      </w:r>
      <w:proofErr w:type="gramEnd"/>
      <w:r w:rsidR="00925EA8" w:rsidRPr="00925EA8">
        <w:rPr>
          <w:rFonts w:ascii="Arial" w:hAnsi="Arial" w:cs="Arial"/>
        </w:rPr>
        <w:t xml:space="preserve"> che consente al debitore di mantenere l’abitazione fino alla aggiudicazione</w:t>
      </w:r>
      <w:r w:rsidRPr="00925EA8">
        <w:rPr>
          <w:rFonts w:ascii="Arial" w:hAnsi="Arial" w:cs="Arial"/>
        </w:rPr>
        <w:t>)</w:t>
      </w:r>
    </w:p>
    <w:p w:rsidR="002B4A7C" w:rsidRPr="00925EA8" w:rsidRDefault="002B4A7C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Nomina liquidatore iscritto nell’albo ex art. </w:t>
      </w:r>
      <w:proofErr w:type="gramStart"/>
      <w:r w:rsidRPr="00925EA8">
        <w:rPr>
          <w:rFonts w:ascii="Arial" w:hAnsi="Arial" w:cs="Arial"/>
        </w:rPr>
        <w:t>356 ?</w:t>
      </w:r>
      <w:proofErr w:type="gramEnd"/>
      <w:r w:rsidR="00C07210">
        <w:rPr>
          <w:rFonts w:ascii="Arial" w:hAnsi="Arial" w:cs="Arial"/>
        </w:rPr>
        <w:t xml:space="preserve"> Trib. Bologna 9.1.2024 vuole l’iscrizione ad entrambi gli albi (albo 356 ed elenco 202)</w:t>
      </w:r>
      <w:r w:rsidR="006B2724">
        <w:rPr>
          <w:rFonts w:ascii="Arial" w:hAnsi="Arial" w:cs="Arial"/>
        </w:rPr>
        <w:t xml:space="preserve"> v. T Torino marzo 24</w:t>
      </w:r>
      <w:bookmarkStart w:id="0" w:name="_GoBack"/>
      <w:bookmarkEnd w:id="0"/>
    </w:p>
    <w:p w:rsidR="002B4A7C" w:rsidRPr="00925EA8" w:rsidRDefault="002B4A7C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>Ammissibilità del sussidio</w:t>
      </w:r>
      <w:r w:rsidR="003A00E7" w:rsidRPr="00925EA8">
        <w:rPr>
          <w:rFonts w:ascii="Arial" w:hAnsi="Arial" w:cs="Arial"/>
        </w:rPr>
        <w:t xml:space="preserve"> richiesto dal </w:t>
      </w:r>
      <w:proofErr w:type="gramStart"/>
      <w:r w:rsidR="003A00E7" w:rsidRPr="00925EA8">
        <w:rPr>
          <w:rFonts w:ascii="Arial" w:hAnsi="Arial" w:cs="Arial"/>
        </w:rPr>
        <w:t>debitore ?</w:t>
      </w:r>
      <w:proofErr w:type="gramEnd"/>
      <w:r w:rsidRPr="00925EA8">
        <w:rPr>
          <w:rFonts w:ascii="Arial" w:hAnsi="Arial" w:cs="Arial"/>
        </w:rPr>
        <w:t>:</w:t>
      </w:r>
      <w:r w:rsidR="003A00E7" w:rsidRPr="00925EA8">
        <w:rPr>
          <w:rFonts w:ascii="Arial" w:hAnsi="Arial" w:cs="Arial"/>
        </w:rPr>
        <w:t xml:space="preserve"> Trib. Rimini 13.9.2023 dice no all’applicazione analogica dell’art. 147, co.1, CCII</w:t>
      </w:r>
    </w:p>
    <w:p w:rsidR="00620B01" w:rsidRPr="00925EA8" w:rsidRDefault="00620B01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>Istanza congiunta di LC familiare con componente incapiente: si apre la LC per tutti i membri, v. Trib. Modena 31.3.2023</w:t>
      </w:r>
    </w:p>
    <w:p w:rsidR="003A00E7" w:rsidRPr="00925EA8" w:rsidRDefault="00620B01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Questione del TFR nella LC con debitore che prosegue il lavoro dipendente: il liquidatore deve apprendere gli acconti liquidabili nel </w:t>
      </w:r>
      <w:proofErr w:type="gramStart"/>
      <w:r w:rsidRPr="00925EA8">
        <w:rPr>
          <w:rFonts w:ascii="Arial" w:hAnsi="Arial" w:cs="Arial"/>
        </w:rPr>
        <w:t>triennio ?</w:t>
      </w:r>
      <w:proofErr w:type="gramEnd"/>
      <w:r w:rsidRPr="00925EA8">
        <w:rPr>
          <w:rFonts w:ascii="Arial" w:hAnsi="Arial" w:cs="Arial"/>
        </w:rPr>
        <w:t xml:space="preserve"> Trib. Forlì 1.9.2023, Trib. Bologna 22.11.2023, Trib. Spoleto 5.4.2024 </w:t>
      </w:r>
      <w:proofErr w:type="gramStart"/>
      <w:r w:rsidRPr="00925EA8">
        <w:rPr>
          <w:rFonts w:ascii="Arial" w:hAnsi="Arial" w:cs="Arial"/>
        </w:rPr>
        <w:t>dicono sì</w:t>
      </w:r>
      <w:proofErr w:type="gramEnd"/>
    </w:p>
    <w:p w:rsidR="00925EA8" w:rsidRDefault="00925EA8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 w:rsidRPr="00925EA8">
        <w:rPr>
          <w:rFonts w:ascii="Arial" w:hAnsi="Arial" w:cs="Arial"/>
        </w:rPr>
        <w:t xml:space="preserve">Competenza alla sospensione dell’esecuzione forzata: spetta al G.E. non al Giudice del </w:t>
      </w:r>
      <w:proofErr w:type="spellStart"/>
      <w:proofErr w:type="gramStart"/>
      <w:r w:rsidRPr="00925EA8">
        <w:rPr>
          <w:rFonts w:ascii="Arial" w:hAnsi="Arial" w:cs="Arial"/>
        </w:rPr>
        <w:t>Sovraindebitamento,Trib</w:t>
      </w:r>
      <w:proofErr w:type="spellEnd"/>
      <w:proofErr w:type="gramEnd"/>
      <w:r w:rsidRPr="00925EA8">
        <w:rPr>
          <w:rFonts w:ascii="Arial" w:hAnsi="Arial" w:cs="Arial"/>
        </w:rPr>
        <w:t>. Pistoia 16.3.2023</w:t>
      </w:r>
    </w:p>
    <w:p w:rsidR="003F6F6E" w:rsidRDefault="003F6F6E" w:rsidP="003A00E7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Applicazione privilegio fondiario ex art. 41 </w:t>
      </w:r>
      <w:proofErr w:type="spellStart"/>
      <w:proofErr w:type="gramStart"/>
      <w:r>
        <w:rPr>
          <w:rFonts w:ascii="Arial" w:hAnsi="Arial" w:cs="Arial"/>
        </w:rPr>
        <w:t>tub</w:t>
      </w:r>
      <w:proofErr w:type="spellEnd"/>
      <w:r>
        <w:rPr>
          <w:rFonts w:ascii="Arial" w:hAnsi="Arial" w:cs="Arial"/>
        </w:rPr>
        <w:t xml:space="preserve"> ?</w:t>
      </w:r>
      <w:proofErr w:type="gramEnd"/>
      <w:r w:rsidR="00A50F04">
        <w:rPr>
          <w:rFonts w:ascii="Arial" w:hAnsi="Arial" w:cs="Arial"/>
        </w:rPr>
        <w:t xml:space="preserve"> Trib. Modena 3.3.2023 dice no, Trib. Ravenna 17.3.2023 dice sì</w:t>
      </w:r>
    </w:p>
    <w:p w:rsidR="003C6ED5" w:rsidRPr="00925EA8" w:rsidRDefault="003C6ED5" w:rsidP="003C6ED5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Esclusione autovettura dalla </w:t>
      </w:r>
      <w:proofErr w:type="gramStart"/>
      <w:r>
        <w:rPr>
          <w:rFonts w:ascii="Arial" w:hAnsi="Arial" w:cs="Arial"/>
        </w:rPr>
        <w:t>LC ?</w:t>
      </w:r>
      <w:proofErr w:type="gramEnd"/>
      <w:r>
        <w:rPr>
          <w:rFonts w:ascii="Arial" w:hAnsi="Arial" w:cs="Arial"/>
        </w:rPr>
        <w:t xml:space="preserve"> Trib. Reggio Emilia 17.5.2023 dice sì ex art. 268, co. 4, CCII; Trib. Padova 19.1.2023</w:t>
      </w:r>
      <w:r w:rsidR="00C07210">
        <w:rPr>
          <w:rFonts w:ascii="Arial" w:hAnsi="Arial" w:cs="Arial"/>
        </w:rPr>
        <w:t xml:space="preserve"> osserva che il contratto di leasing avente ad oggetto l’autovettura è contratto pendente che rimane sospeso ex art. 270, co. 6, CCII fino alle valutazioni del liquidatore</w:t>
      </w:r>
    </w:p>
    <w:p w:rsidR="00C07210" w:rsidRDefault="003C6ED5" w:rsidP="00C07210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Criterio ISEE ex art. 283, co. 2, CCII per determinare limite mantenimento nella LC? Molti tribunali dicono di sì, Trib. Lodi 12.2.2024, Trib. Pescara 14.12.2023, Trib. Vicenza 14.7.2023</w:t>
      </w:r>
    </w:p>
    <w:p w:rsidR="00C07210" w:rsidRDefault="00C07210" w:rsidP="00C07210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Si può non acquisire un bene o rinunciare alla liquidazione se non </w:t>
      </w:r>
      <w:proofErr w:type="gramStart"/>
      <w:r>
        <w:rPr>
          <w:rFonts w:ascii="Arial" w:hAnsi="Arial" w:cs="Arial"/>
        </w:rPr>
        <w:t>conveniente ?</w:t>
      </w:r>
      <w:proofErr w:type="gramEnd"/>
      <w:r>
        <w:rPr>
          <w:rFonts w:ascii="Arial" w:hAnsi="Arial" w:cs="Arial"/>
        </w:rPr>
        <w:t xml:space="preserve"> Trib. Lecce 30.11.2023 dice no, perché il secondo comma dell’art. 213 CCII non è richiamato dall’art. 272, co. 2, CCII</w:t>
      </w:r>
    </w:p>
    <w:p w:rsidR="00C07210" w:rsidRDefault="00C07210" w:rsidP="00C07210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Inefficacia dei pagamenti ex art. 144 CCII? Si applica anche se non richiamato dall’art.270, co. 5, </w:t>
      </w:r>
      <w:proofErr w:type="gramStart"/>
      <w:r>
        <w:rPr>
          <w:rFonts w:ascii="Arial" w:hAnsi="Arial" w:cs="Arial"/>
        </w:rPr>
        <w:t>CCII ?</w:t>
      </w:r>
      <w:proofErr w:type="gramEnd"/>
      <w:r>
        <w:rPr>
          <w:rFonts w:ascii="Arial" w:hAnsi="Arial" w:cs="Arial"/>
        </w:rPr>
        <w:t xml:space="preserve"> Tutti dicono sì</w:t>
      </w:r>
    </w:p>
    <w:p w:rsidR="00C07210" w:rsidRDefault="00C07210" w:rsidP="00C07210">
      <w:pPr>
        <w:pStyle w:val="Paragrafoelenc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Si applica l’art.142 CCII sui beni pervenuti al debitore dopo l’apertura della LC (per es. eredità</w:t>
      </w:r>
      <w:proofErr w:type="gramStart"/>
      <w:r>
        <w:rPr>
          <w:rFonts w:ascii="Arial" w:hAnsi="Arial" w:cs="Arial"/>
        </w:rPr>
        <w:t>) ?</w:t>
      </w:r>
      <w:proofErr w:type="gramEnd"/>
      <w:r>
        <w:rPr>
          <w:rFonts w:ascii="Arial" w:hAnsi="Arial" w:cs="Arial"/>
        </w:rPr>
        <w:t xml:space="preserve"> Tutti dicono di sì, ma anche questa norma non è richiamata</w:t>
      </w:r>
    </w:p>
    <w:p w:rsidR="00C07210" w:rsidRPr="00C07210" w:rsidRDefault="00C07210" w:rsidP="00C07210">
      <w:pPr>
        <w:pStyle w:val="Paragrafoelenco"/>
        <w:rPr>
          <w:rFonts w:ascii="Arial" w:hAnsi="Arial" w:cs="Arial"/>
        </w:rPr>
      </w:pPr>
    </w:p>
    <w:sectPr w:rsidR="00C07210" w:rsidRPr="00C07210" w:rsidSect="00BF5ED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B63A37"/>
    <w:multiLevelType w:val="hybridMultilevel"/>
    <w:tmpl w:val="B27832FC"/>
    <w:lvl w:ilvl="0" w:tplc="4D2C03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6"/>
        <w:szCs w:val="32"/>
        <w:u w:val="none" w:color="000000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9056E9"/>
    <w:multiLevelType w:val="hybridMultilevel"/>
    <w:tmpl w:val="84DC6512"/>
    <w:lvl w:ilvl="0" w:tplc="946ECA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6B0"/>
    <w:rsid w:val="00162FE2"/>
    <w:rsid w:val="002B4A7C"/>
    <w:rsid w:val="003A00E7"/>
    <w:rsid w:val="003C6ED5"/>
    <w:rsid w:val="003F6F6E"/>
    <w:rsid w:val="005921E9"/>
    <w:rsid w:val="00620B01"/>
    <w:rsid w:val="006B2724"/>
    <w:rsid w:val="007B7878"/>
    <w:rsid w:val="00824BE8"/>
    <w:rsid w:val="00925EA8"/>
    <w:rsid w:val="009436B0"/>
    <w:rsid w:val="00A50F04"/>
    <w:rsid w:val="00BF5EDB"/>
    <w:rsid w:val="00C0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61347"/>
  <w15:chartTrackingRefBased/>
  <w15:docId w15:val="{1022629C-C2ED-424E-95E0-2F153B8AC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it-IT" w:eastAsia="en-US" w:bidi="bn-IN"/>
        <w14:ligatures w14:val="standardContextua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Pr>
      <w:rFonts w:cs="Vrind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B4A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70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75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77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avv. Astorre Mancini</dc:creator>
  <cp:keywords/>
  <dc:description/>
  <cp:lastModifiedBy>Anna Ghedini</cp:lastModifiedBy>
  <cp:revision>3</cp:revision>
  <dcterms:created xsi:type="dcterms:W3CDTF">2024-04-11T17:31:00Z</dcterms:created>
  <dcterms:modified xsi:type="dcterms:W3CDTF">2024-05-03T17:03:00Z</dcterms:modified>
</cp:coreProperties>
</file>