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E7A9F3" w14:textId="7FCDD94B" w:rsidR="006B257B" w:rsidRDefault="006B257B" w:rsidP="003247F4">
      <w:bookmarkStart w:id="0" w:name="_GoBack"/>
      <w:bookmarkEnd w:id="0"/>
      <w:r>
        <w:t>ARGOMENTO 1</w:t>
      </w:r>
    </w:p>
    <w:p w14:paraId="33F8B537" w14:textId="35A3F627" w:rsidR="003247F4" w:rsidRDefault="003247F4" w:rsidP="003247F4">
      <w:pPr>
        <w:rPr>
          <w:color w:val="4EA72E" w:themeColor="accent6"/>
        </w:rPr>
      </w:pPr>
      <w:proofErr w:type="gramStart"/>
      <w:r>
        <w:t>CAS</w:t>
      </w:r>
      <w:r w:rsidR="006B257B">
        <w:t>I</w:t>
      </w:r>
      <w:r>
        <w:t>:  1</w:t>
      </w:r>
      <w:proofErr w:type="gramEnd"/>
      <w:r>
        <w:t xml:space="preserve">) </w:t>
      </w:r>
      <w:r>
        <w:rPr>
          <w:color w:val="4EA72E" w:themeColor="accent6"/>
        </w:rPr>
        <w:t>il debitore è titolare solo di una pensione di € 3200,00 mensili e due suoi creditori chiedono l’apertura della procedura.</w:t>
      </w:r>
    </w:p>
    <w:p w14:paraId="1EC9B162" w14:textId="0139615C" w:rsidR="003247F4" w:rsidRDefault="003247F4" w:rsidP="003247F4">
      <w:pPr>
        <w:rPr>
          <w:color w:val="4EA72E" w:themeColor="accent6"/>
        </w:rPr>
      </w:pPr>
      <w:r>
        <w:rPr>
          <w:color w:val="4EA72E" w:themeColor="accent6"/>
        </w:rPr>
        <w:t xml:space="preserve">               2) emerge dall’inventario che il debitore è proprietario solo di un immobile del valore di 80 mila euro è la domanda di apertura della l.c. viene formulata dall’Agenzia delle entrate/riscossione</w:t>
      </w:r>
    </w:p>
    <w:p w14:paraId="5E8A2175" w14:textId="77777777" w:rsidR="00B02543" w:rsidRDefault="00B02543" w:rsidP="003247F4">
      <w:pPr>
        <w:rPr>
          <w:color w:val="4EA72E" w:themeColor="accent6"/>
        </w:rPr>
      </w:pPr>
    </w:p>
    <w:p w14:paraId="116E6E7A" w14:textId="3F54D03C" w:rsidR="00B02543" w:rsidRDefault="00B02543" w:rsidP="003247F4">
      <w:pPr>
        <w:rPr>
          <w:color w:val="4EA72E" w:themeColor="accent6"/>
        </w:rPr>
      </w:pPr>
      <w:r>
        <w:rPr>
          <w:color w:val="4EA72E" w:themeColor="accent6"/>
        </w:rPr>
        <w:t xml:space="preserve">             3) a legislazione attuale, l’OCC dà atto, in sede di costituzione del debitore in una domanda di l.c., che nel patrimonio non v’è nulla, se non un’azione risarcitoria per danno biologico; in altro caso v’è solo un’azione risarcitoria per il danneggiamento di un immobile</w:t>
      </w:r>
    </w:p>
    <w:p w14:paraId="4C498C8F" w14:textId="77777777" w:rsidR="00B02543" w:rsidRDefault="00B02543" w:rsidP="003247F4">
      <w:pPr>
        <w:rPr>
          <w:color w:val="4EA72E" w:themeColor="accent6"/>
        </w:rPr>
      </w:pPr>
    </w:p>
    <w:p w14:paraId="3609CE1D" w14:textId="15A1A289" w:rsidR="00B02543" w:rsidRDefault="00B02543" w:rsidP="003247F4">
      <w:pPr>
        <w:rPr>
          <w:color w:val="4EA72E" w:themeColor="accent6"/>
        </w:rPr>
      </w:pPr>
      <w:r>
        <w:rPr>
          <w:color w:val="4EA72E" w:themeColor="accent6"/>
        </w:rPr>
        <w:t xml:space="preserve">          4) il liquidatore non procede a proseguire una causa di recupero crediti che il debitore gli rappresenta essere pendente. Così prosegue la causa il debitore e ottiene una sentenza favorevole che non viene impugnata. Il liquidatore procede allora ad intimare il precetto al debitor </w:t>
      </w:r>
      <w:proofErr w:type="spellStart"/>
      <w:r>
        <w:rPr>
          <w:color w:val="4EA72E" w:themeColor="accent6"/>
        </w:rPr>
        <w:t>debitoris</w:t>
      </w:r>
      <w:proofErr w:type="spellEnd"/>
      <w:r>
        <w:rPr>
          <w:color w:val="4EA72E" w:themeColor="accent6"/>
        </w:rPr>
        <w:t xml:space="preserve"> e trascrive il pignoramento sull’immobile dello stesso;</w:t>
      </w:r>
    </w:p>
    <w:p w14:paraId="175256AF" w14:textId="77777777" w:rsidR="00B02543" w:rsidRDefault="00B02543" w:rsidP="003247F4">
      <w:pPr>
        <w:rPr>
          <w:color w:val="4EA72E" w:themeColor="accent6"/>
        </w:rPr>
      </w:pPr>
    </w:p>
    <w:p w14:paraId="06A07411" w14:textId="6E9DC0BA" w:rsidR="00B02543" w:rsidRDefault="00B02543" w:rsidP="003247F4">
      <w:pPr>
        <w:rPr>
          <w:color w:val="4EA72E" w:themeColor="accent6"/>
        </w:rPr>
      </w:pPr>
      <w:r>
        <w:rPr>
          <w:color w:val="4EA72E" w:themeColor="accent6"/>
        </w:rPr>
        <w:t xml:space="preserve">       5) un creditore propone ricorso per decreto ingiuntivo contro il debitore, nei cui confronti viene nel frattempo aperta la l.c. Ottiene il decreto e, dopo che la procedura viene chiusa senza che il debitore ottenga l’esdebitazione, promuove azione esecutiva </w:t>
      </w:r>
    </w:p>
    <w:p w14:paraId="4BD9A0A2" w14:textId="77777777" w:rsidR="00B02543" w:rsidRPr="003247F4" w:rsidRDefault="00B02543" w:rsidP="003247F4">
      <w:pPr>
        <w:rPr>
          <w:color w:val="4EA72E" w:themeColor="accent6"/>
        </w:rPr>
      </w:pPr>
    </w:p>
    <w:p w14:paraId="1E47AAB3" w14:textId="35A529A3" w:rsidR="00C87C25" w:rsidRPr="006B257B" w:rsidRDefault="006B257B" w:rsidP="00B44499">
      <w:r w:rsidRPr="006B257B">
        <w:t>ARGOMENTO 2</w:t>
      </w:r>
    </w:p>
    <w:p w14:paraId="691A7E9D" w14:textId="682E2531" w:rsidR="00B44499" w:rsidRDefault="00B44499" w:rsidP="00B44499">
      <w:pPr>
        <w:pStyle w:val="Paragrafoelenco"/>
        <w:numPr>
          <w:ilvl w:val="0"/>
          <w:numId w:val="4"/>
        </w:numPr>
        <w:rPr>
          <w:color w:val="4EA72E" w:themeColor="accent6"/>
        </w:rPr>
      </w:pPr>
      <w:r>
        <w:rPr>
          <w:color w:val="4EA72E" w:themeColor="accent6"/>
        </w:rPr>
        <w:t>Il debitore ammette la propria insolvenza e propone domanda di l.c. in proprio, chiedendo che sia escluso il proprio reddito (e.4000,00 mensili; la famiglia è composta da sé e dalla moglie</w:t>
      </w:r>
      <w:r w:rsidR="00BB3989">
        <w:rPr>
          <w:color w:val="4EA72E" w:themeColor="accent6"/>
        </w:rPr>
        <w:t>)</w:t>
      </w:r>
      <w:r>
        <w:rPr>
          <w:color w:val="4EA72E" w:themeColor="accent6"/>
        </w:rPr>
        <w:t xml:space="preserve">, egli però lavora fuori zona e deve pagare un affitto di 1200 euro mensili e affrontare spese di viaggio e di alloggio di euro 1000 mensili; </w:t>
      </w:r>
      <w:r w:rsidR="00BB3989">
        <w:rPr>
          <w:color w:val="4EA72E" w:themeColor="accent6"/>
        </w:rPr>
        <w:t>chiede dunque altresì l’esclusione del</w:t>
      </w:r>
      <w:r>
        <w:rPr>
          <w:color w:val="4EA72E" w:themeColor="accent6"/>
        </w:rPr>
        <w:t>l’automobile, per sé (</w:t>
      </w:r>
      <w:proofErr w:type="spellStart"/>
      <w:r>
        <w:rPr>
          <w:color w:val="4EA72E" w:themeColor="accent6"/>
        </w:rPr>
        <w:t>audi</w:t>
      </w:r>
      <w:proofErr w:type="spellEnd"/>
      <w:r>
        <w:rPr>
          <w:color w:val="4EA72E" w:themeColor="accent6"/>
        </w:rPr>
        <w:t xml:space="preserve"> Q3) e per la moglie (</w:t>
      </w:r>
      <w:proofErr w:type="spellStart"/>
      <w:r>
        <w:rPr>
          <w:color w:val="4EA72E" w:themeColor="accent6"/>
        </w:rPr>
        <w:t>mercedes</w:t>
      </w:r>
      <w:proofErr w:type="spellEnd"/>
      <w:r>
        <w:rPr>
          <w:color w:val="4EA72E" w:themeColor="accent6"/>
        </w:rPr>
        <w:t xml:space="preserve"> Smart), mettendo a disposizione il resto del patrimonio (casa principale, casa al mare, un conto corrente con 15 mila euro)</w:t>
      </w:r>
    </w:p>
    <w:p w14:paraId="6CAB9873" w14:textId="2DC5C713" w:rsidR="00BB3989" w:rsidRDefault="00BB3989" w:rsidP="00B44499">
      <w:pPr>
        <w:pStyle w:val="Paragrafoelenco"/>
        <w:numPr>
          <w:ilvl w:val="0"/>
          <w:numId w:val="4"/>
        </w:numPr>
        <w:rPr>
          <w:color w:val="4EA72E" w:themeColor="accent6"/>
        </w:rPr>
      </w:pPr>
      <w:r>
        <w:rPr>
          <w:color w:val="4EA72E" w:themeColor="accent6"/>
        </w:rPr>
        <w:t>Tutto come sopra, ma il debitore chiede anche di escludere la casa di abitazione, offrendo finanza esterna per un importo pari al valore di perizia della casa; dalla relazione dell’OCC emerge che la situazione debitoria è derivata da forti perdite del debitore in azzardati investimenti in imprese dedite a traffici illeciti;</w:t>
      </w:r>
    </w:p>
    <w:p w14:paraId="1A853DA0" w14:textId="3D91522A" w:rsidR="00B44499" w:rsidRDefault="00B44499" w:rsidP="00B44499">
      <w:pPr>
        <w:pStyle w:val="Paragrafoelenco"/>
        <w:numPr>
          <w:ilvl w:val="0"/>
          <w:numId w:val="4"/>
        </w:numPr>
        <w:rPr>
          <w:color w:val="4EA72E" w:themeColor="accent6"/>
        </w:rPr>
      </w:pPr>
      <w:r>
        <w:rPr>
          <w:color w:val="4EA72E" w:themeColor="accent6"/>
        </w:rPr>
        <w:t xml:space="preserve"> Il liquidatore, verificato che nel patrimonio del debitore c’è una quota di immobile di un terzo (vecchio cascinale in provincia di Genova) decide di non acquisirlo all’attivo e lo comunica ai creditori. Il creditore ipotecario inizia l’azione esecutiva. A tre anni dall’apertura viene emesso il decreto di </w:t>
      </w:r>
      <w:r w:rsidR="00154386">
        <w:rPr>
          <w:color w:val="4EA72E" w:themeColor="accent6"/>
        </w:rPr>
        <w:t>inesigibilità</w:t>
      </w:r>
    </w:p>
    <w:p w14:paraId="167FAB42" w14:textId="21BED953" w:rsidR="00154386" w:rsidRDefault="00154386" w:rsidP="00154386">
      <w:pPr>
        <w:pStyle w:val="Paragrafoelenco"/>
        <w:numPr>
          <w:ilvl w:val="0"/>
          <w:numId w:val="4"/>
        </w:numPr>
        <w:rPr>
          <w:color w:val="4EA72E" w:themeColor="accent6"/>
        </w:rPr>
      </w:pPr>
      <w:r>
        <w:rPr>
          <w:color w:val="4EA72E" w:themeColor="accent6"/>
        </w:rPr>
        <w:t>Il liquidatore</w:t>
      </w:r>
      <w:r w:rsidR="00BB3989">
        <w:rPr>
          <w:color w:val="4EA72E" w:themeColor="accent6"/>
        </w:rPr>
        <w:t>, a un anno dall’apertura,</w:t>
      </w:r>
      <w:r>
        <w:rPr>
          <w:color w:val="4EA72E" w:themeColor="accent6"/>
        </w:rPr>
        <w:t xml:space="preserve"> dopo aver pagato il dieci per cento liquidando tutto quanto disponibile, chiede al </w:t>
      </w:r>
      <w:proofErr w:type="spellStart"/>
      <w:r>
        <w:rPr>
          <w:color w:val="4EA72E" w:themeColor="accent6"/>
        </w:rPr>
        <w:t>g.d</w:t>
      </w:r>
      <w:proofErr w:type="spellEnd"/>
      <w:r>
        <w:rPr>
          <w:color w:val="4EA72E" w:themeColor="accent6"/>
        </w:rPr>
        <w:t>. di chiudere perché tanto non vi è alcuna prospettiva di acquisire ulteriore attivo, e lo attesta</w:t>
      </w:r>
    </w:p>
    <w:p w14:paraId="17FF5843" w14:textId="12FF2E82" w:rsidR="00154386" w:rsidRDefault="00154386" w:rsidP="00154386">
      <w:pPr>
        <w:pStyle w:val="Paragrafoelenco"/>
        <w:numPr>
          <w:ilvl w:val="0"/>
          <w:numId w:val="4"/>
        </w:numPr>
        <w:rPr>
          <w:color w:val="4EA72E" w:themeColor="accent6"/>
        </w:rPr>
      </w:pPr>
      <w:r>
        <w:rPr>
          <w:color w:val="4EA72E" w:themeColor="accent6"/>
        </w:rPr>
        <w:t>Decorsi i tre anni dall’apertura, resta da vendere un terreno edificabile; il debitore chiede comunque che sia cessato il prelievo di parte della propria pensione a vantaggio dei creditori.</w:t>
      </w:r>
    </w:p>
    <w:p w14:paraId="5EBB5687" w14:textId="773BB72A" w:rsidR="00154386" w:rsidRPr="00154386" w:rsidRDefault="00154386" w:rsidP="00154386">
      <w:pPr>
        <w:pStyle w:val="Paragrafoelenco"/>
        <w:numPr>
          <w:ilvl w:val="0"/>
          <w:numId w:val="4"/>
        </w:numPr>
        <w:rPr>
          <w:color w:val="4EA72E" w:themeColor="accent6"/>
        </w:rPr>
      </w:pPr>
      <w:r>
        <w:rPr>
          <w:color w:val="4EA72E" w:themeColor="accent6"/>
        </w:rPr>
        <w:t>Il debitore tra l’altro dispone di una pensione il cui quinto è stato oggetto di cessione prima dell’apertura della liquidazione</w:t>
      </w:r>
    </w:p>
    <w:p w14:paraId="757DA664" w14:textId="77777777" w:rsidR="00C87C25" w:rsidRDefault="00C87C25"/>
    <w:p w14:paraId="5FF87DE3" w14:textId="0A86C72B" w:rsidR="006B257B" w:rsidRPr="006B257B" w:rsidRDefault="006B257B">
      <w:r>
        <w:lastRenderedPageBreak/>
        <w:t>ARGOMENTO 3</w:t>
      </w:r>
    </w:p>
    <w:p w14:paraId="277412DD" w14:textId="5314905B" w:rsidR="00C87C25" w:rsidRDefault="00154386" w:rsidP="00154386">
      <w:pPr>
        <w:pStyle w:val="Paragrafoelenco"/>
        <w:numPr>
          <w:ilvl w:val="0"/>
          <w:numId w:val="6"/>
        </w:numPr>
        <w:rPr>
          <w:color w:val="4EA72E" w:themeColor="accent6"/>
        </w:rPr>
      </w:pPr>
      <w:r>
        <w:rPr>
          <w:color w:val="4EA72E" w:themeColor="accent6"/>
        </w:rPr>
        <w:t xml:space="preserve">Attesa la presenza di due beni immobili, il liquidatore nomina un professionista, abitualmente nominato delegato dal </w:t>
      </w:r>
      <w:proofErr w:type="spellStart"/>
      <w:r>
        <w:rPr>
          <w:color w:val="4EA72E" w:themeColor="accent6"/>
        </w:rPr>
        <w:t>g.e</w:t>
      </w:r>
      <w:proofErr w:type="spellEnd"/>
      <w:r>
        <w:rPr>
          <w:color w:val="4EA72E" w:themeColor="accent6"/>
        </w:rPr>
        <w:t>. e inser</w:t>
      </w:r>
      <w:r w:rsidR="004B7A8D">
        <w:rPr>
          <w:color w:val="4EA72E" w:themeColor="accent6"/>
        </w:rPr>
        <w:t>i</w:t>
      </w:r>
      <w:r>
        <w:rPr>
          <w:color w:val="4EA72E" w:themeColor="accent6"/>
        </w:rPr>
        <w:t xml:space="preserve">to nell’elenco di cui all’art. 179 ter disp att cpc, affinché </w:t>
      </w:r>
      <w:proofErr w:type="gramStart"/>
      <w:r>
        <w:rPr>
          <w:color w:val="4EA72E" w:themeColor="accent6"/>
        </w:rPr>
        <w:t>ponga in essere</w:t>
      </w:r>
      <w:proofErr w:type="gramEnd"/>
      <w:r>
        <w:rPr>
          <w:color w:val="4EA72E" w:themeColor="accent6"/>
        </w:rPr>
        <w:t xml:space="preserve"> le operazioni di vendita</w:t>
      </w:r>
    </w:p>
    <w:p w14:paraId="4D4A19AC" w14:textId="3C4EEEB7" w:rsidR="00154386" w:rsidRDefault="00154386" w:rsidP="00154386">
      <w:pPr>
        <w:pStyle w:val="Paragrafoelenco"/>
        <w:numPr>
          <w:ilvl w:val="0"/>
          <w:numId w:val="6"/>
        </w:numPr>
        <w:rPr>
          <w:color w:val="4EA72E" w:themeColor="accent6"/>
        </w:rPr>
      </w:pPr>
      <w:r>
        <w:rPr>
          <w:color w:val="4EA72E" w:themeColor="accent6"/>
        </w:rPr>
        <w:t xml:space="preserve">in sede di apertura della liquidazione, il </w:t>
      </w:r>
      <w:proofErr w:type="spellStart"/>
      <w:r>
        <w:rPr>
          <w:color w:val="4EA72E" w:themeColor="accent6"/>
        </w:rPr>
        <w:t>g.d</w:t>
      </w:r>
      <w:proofErr w:type="spellEnd"/>
      <w:r>
        <w:rPr>
          <w:color w:val="4EA72E" w:themeColor="accent6"/>
        </w:rPr>
        <w:t>. ordina il rilascio di un’immobile, adibito ad abitazione, ma ne subordina l’esecuzione alla avvenuta vendita</w:t>
      </w:r>
    </w:p>
    <w:p w14:paraId="654A30D8" w14:textId="11EC517D" w:rsidR="004B7A8D" w:rsidRDefault="004B7A8D" w:rsidP="00154386">
      <w:pPr>
        <w:pStyle w:val="Paragrafoelenco"/>
        <w:numPr>
          <w:ilvl w:val="0"/>
          <w:numId w:val="6"/>
        </w:numPr>
        <w:rPr>
          <w:color w:val="4EA72E" w:themeColor="accent6"/>
        </w:rPr>
      </w:pPr>
      <w:r>
        <w:rPr>
          <w:color w:val="4EA72E" w:themeColor="accent6"/>
        </w:rPr>
        <w:t xml:space="preserve">il giudice si avvede che le operazioni di vendita vengono eseguite in difformità dallo schema legale, in particolare senza l’esecuzione delle prescritte pubblicità. </w:t>
      </w:r>
      <w:proofErr w:type="gramStart"/>
      <w:r>
        <w:rPr>
          <w:color w:val="4EA72E" w:themeColor="accent6"/>
        </w:rPr>
        <w:t>Tuttavia</w:t>
      </w:r>
      <w:proofErr w:type="gramEnd"/>
      <w:r>
        <w:rPr>
          <w:color w:val="4EA72E" w:themeColor="accent6"/>
        </w:rPr>
        <w:t xml:space="preserve"> nessun creditore formula istanza di sospensione della vendita.</w:t>
      </w:r>
    </w:p>
    <w:p w14:paraId="1C68610F" w14:textId="2DB05BE9" w:rsidR="004B7A8D" w:rsidRPr="00154386" w:rsidRDefault="004B7A8D" w:rsidP="00154386">
      <w:pPr>
        <w:pStyle w:val="Paragrafoelenco"/>
        <w:numPr>
          <w:ilvl w:val="0"/>
          <w:numId w:val="6"/>
        </w:numPr>
        <w:rPr>
          <w:color w:val="4EA72E" w:themeColor="accent6"/>
        </w:rPr>
      </w:pPr>
      <w:r>
        <w:rPr>
          <w:color w:val="4EA72E" w:themeColor="accent6"/>
        </w:rPr>
        <w:t xml:space="preserve">Il giudice delegato non approva il </w:t>
      </w:r>
      <w:proofErr w:type="spellStart"/>
      <w:r>
        <w:rPr>
          <w:color w:val="4EA72E" w:themeColor="accent6"/>
        </w:rPr>
        <w:t>pdl</w:t>
      </w:r>
      <w:proofErr w:type="spellEnd"/>
      <w:r>
        <w:rPr>
          <w:color w:val="4EA72E" w:themeColor="accent6"/>
        </w:rPr>
        <w:t xml:space="preserve"> in quanto non prevede i tempi di liquidazione, ed in particolare non fissa un tempo per l’inizio delle operazioni stesse</w:t>
      </w:r>
    </w:p>
    <w:p w14:paraId="08C52B46" w14:textId="77777777" w:rsidR="00154386" w:rsidRDefault="00154386"/>
    <w:p w14:paraId="28D0EF94" w14:textId="1273D44C" w:rsidR="003247F4" w:rsidRDefault="006B257B" w:rsidP="00EC3130">
      <w:pPr>
        <w:pStyle w:val="Paragrafoelenco"/>
      </w:pPr>
      <w:r>
        <w:t>ARGOMENTO 4</w:t>
      </w:r>
    </w:p>
    <w:p w14:paraId="457AB418" w14:textId="77777777" w:rsidR="003247F4" w:rsidRDefault="003247F4" w:rsidP="00EC3130">
      <w:pPr>
        <w:pStyle w:val="Paragrafoelenco"/>
      </w:pPr>
    </w:p>
    <w:p w14:paraId="5353E5D3" w14:textId="272D5883" w:rsidR="003247F4" w:rsidRPr="00506696" w:rsidRDefault="00BB3989" w:rsidP="00BB3989">
      <w:pPr>
        <w:pStyle w:val="Paragrafoelenco"/>
        <w:numPr>
          <w:ilvl w:val="0"/>
          <w:numId w:val="7"/>
        </w:numPr>
        <w:rPr>
          <w:color w:val="00B050"/>
        </w:rPr>
      </w:pPr>
      <w:r w:rsidRPr="00506696">
        <w:rPr>
          <w:color w:val="00B050"/>
        </w:rPr>
        <w:t>Un debitore nel procedimento unitario per liquidazione controllata promosso da un creditore, eccepisce la propria incapienza attestata dall’OCC, e chiede in caso di accoglimento dell’eccezione stessa il decreto di inesigibilità a mente dell’art. 283, ccii;</w:t>
      </w:r>
    </w:p>
    <w:p w14:paraId="272C54C8" w14:textId="7EA067FC" w:rsidR="00BB3989" w:rsidRPr="00506696" w:rsidRDefault="00BB3989" w:rsidP="00BB3989">
      <w:pPr>
        <w:pStyle w:val="Paragrafoelenco"/>
        <w:numPr>
          <w:ilvl w:val="0"/>
          <w:numId w:val="7"/>
        </w:numPr>
        <w:rPr>
          <w:color w:val="00B050"/>
        </w:rPr>
      </w:pPr>
      <w:r w:rsidRPr="00506696">
        <w:rPr>
          <w:color w:val="00B050"/>
        </w:rPr>
        <w:t>Dopo il decreto di inesigibilità concesso a un debitore, sopraggiunge attivo atto a soddisfare il 10 % dei creditori privilegiati. Il debitore chiede nulla disporsi visto che non si riesce a pagare il 10 % di tutti i creditori; mentre uno dei creditori chiede sia addirittura revocato il decreto di inesigibilità in quanto l’ulteriore attivo è stato dallo stesso segnalato avendo casualmente scoperto di una piccola eredità pervenuta al debitore, neppure indicata dall’OCC nella sua relazione al giudice; un altro creditore chiede al giudice di distribuire quanto sopravvenuto;</w:t>
      </w:r>
    </w:p>
    <w:p w14:paraId="38A794FB" w14:textId="2D66E2A7" w:rsidR="00BB3989" w:rsidRPr="00506696" w:rsidRDefault="00BB3989" w:rsidP="00BB3989">
      <w:pPr>
        <w:pStyle w:val="Paragrafoelenco"/>
        <w:numPr>
          <w:ilvl w:val="0"/>
          <w:numId w:val="7"/>
        </w:numPr>
        <w:rPr>
          <w:color w:val="00B050"/>
        </w:rPr>
      </w:pPr>
      <w:r w:rsidRPr="00506696">
        <w:rPr>
          <w:color w:val="00B050"/>
        </w:rPr>
        <w:t>Un avvocato, con studio in locazione e una segretaria</w:t>
      </w:r>
      <w:r w:rsidR="00506696" w:rsidRPr="00506696">
        <w:rPr>
          <w:color w:val="00B050"/>
        </w:rPr>
        <w:t xml:space="preserve">, propone domanda di esdebitazione dell’incapiente facendo presente di non essere in grado di pagare più nessuno e non avere nulla se non il proprio incerto reddito da professionista di circa 950 euro mensili, necessari al mantenimento proprio e della famiglia (moglie e tre figli). Tra i creditori indicati vi sono gli arretrati dello stipendio della segretaria, i canoni di locazione dello studio, le rette anch’esse arretrate della scuola privata di due figli, finanziamento per </w:t>
      </w:r>
      <w:proofErr w:type="gramStart"/>
      <w:r w:rsidR="00506696" w:rsidRPr="00506696">
        <w:rPr>
          <w:color w:val="00B050"/>
        </w:rPr>
        <w:t>un  viaggio</w:t>
      </w:r>
      <w:proofErr w:type="gramEnd"/>
      <w:r w:rsidR="00506696" w:rsidRPr="00506696">
        <w:rPr>
          <w:color w:val="00B050"/>
        </w:rPr>
        <w:t xml:space="preserve"> a Lourdes, conto di negozio di abbigliamento e di un panificio</w:t>
      </w:r>
    </w:p>
    <w:sectPr w:rsidR="00BB3989" w:rsidRPr="0050669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10785"/>
    <w:multiLevelType w:val="hybridMultilevel"/>
    <w:tmpl w:val="9EBC335A"/>
    <w:lvl w:ilvl="0" w:tplc="A1BEA528">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098A33A8"/>
    <w:multiLevelType w:val="hybridMultilevel"/>
    <w:tmpl w:val="062294C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E771EF5"/>
    <w:multiLevelType w:val="hybridMultilevel"/>
    <w:tmpl w:val="3D8A224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0E7242B"/>
    <w:multiLevelType w:val="hybridMultilevel"/>
    <w:tmpl w:val="BB08979A"/>
    <w:lvl w:ilvl="0" w:tplc="B2CCD5C6">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5754E0"/>
    <w:multiLevelType w:val="hybridMultilevel"/>
    <w:tmpl w:val="10CA99C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4E51A0A"/>
    <w:multiLevelType w:val="multilevel"/>
    <w:tmpl w:val="E4EE2A60"/>
    <w:styleLink w:val="Stile1"/>
    <w:lvl w:ilvl="0">
      <w:start w:val="1"/>
      <w:numFmt w:val="bullet"/>
      <w:lvlText w:val=""/>
      <w:lvlJc w:val="left"/>
      <w:pPr>
        <w:ind w:left="615" w:hanging="360"/>
      </w:pPr>
      <w:rPr>
        <w:rFonts w:ascii="Symbol" w:hAnsi="Symbol" w:hint="default"/>
        <w:color w:val="auto"/>
      </w:rPr>
    </w:lvl>
    <w:lvl w:ilvl="1">
      <w:start w:val="1"/>
      <w:numFmt w:val="lowerLetter"/>
      <w:lvlText w:val="%2."/>
      <w:lvlJc w:val="left"/>
      <w:pPr>
        <w:ind w:left="1335" w:hanging="360"/>
      </w:pPr>
    </w:lvl>
    <w:lvl w:ilvl="2">
      <w:start w:val="1"/>
      <w:numFmt w:val="lowerRoman"/>
      <w:lvlText w:val="%3."/>
      <w:lvlJc w:val="right"/>
      <w:pPr>
        <w:ind w:left="2055" w:hanging="180"/>
      </w:pPr>
    </w:lvl>
    <w:lvl w:ilvl="3">
      <w:start w:val="1"/>
      <w:numFmt w:val="decimal"/>
      <w:lvlText w:val="%4."/>
      <w:lvlJc w:val="left"/>
      <w:pPr>
        <w:ind w:left="2775" w:hanging="360"/>
      </w:pPr>
    </w:lvl>
    <w:lvl w:ilvl="4">
      <w:start w:val="1"/>
      <w:numFmt w:val="lowerLetter"/>
      <w:lvlText w:val="%5."/>
      <w:lvlJc w:val="left"/>
      <w:pPr>
        <w:ind w:left="3495" w:hanging="360"/>
      </w:pPr>
    </w:lvl>
    <w:lvl w:ilvl="5">
      <w:start w:val="1"/>
      <w:numFmt w:val="lowerRoman"/>
      <w:lvlText w:val="%6."/>
      <w:lvlJc w:val="right"/>
      <w:pPr>
        <w:ind w:left="4215" w:hanging="180"/>
      </w:pPr>
    </w:lvl>
    <w:lvl w:ilvl="6">
      <w:start w:val="1"/>
      <w:numFmt w:val="decimal"/>
      <w:lvlText w:val="%7."/>
      <w:lvlJc w:val="left"/>
      <w:pPr>
        <w:ind w:left="4935" w:hanging="360"/>
      </w:pPr>
    </w:lvl>
    <w:lvl w:ilvl="7">
      <w:start w:val="1"/>
      <w:numFmt w:val="lowerLetter"/>
      <w:lvlText w:val="%8."/>
      <w:lvlJc w:val="left"/>
      <w:pPr>
        <w:ind w:left="5655" w:hanging="360"/>
      </w:pPr>
    </w:lvl>
    <w:lvl w:ilvl="8">
      <w:start w:val="1"/>
      <w:numFmt w:val="lowerRoman"/>
      <w:lvlText w:val="%9."/>
      <w:lvlJc w:val="right"/>
      <w:pPr>
        <w:ind w:left="6375" w:hanging="180"/>
      </w:pPr>
    </w:lvl>
  </w:abstractNum>
  <w:abstractNum w:abstractNumId="6" w15:restartNumberingAfterBreak="0">
    <w:nsid w:val="627F736B"/>
    <w:multiLevelType w:val="hybridMultilevel"/>
    <w:tmpl w:val="03F8845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3"/>
  </w:num>
  <w:num w:numId="3">
    <w:abstractNumId w:val="6"/>
  </w:num>
  <w:num w:numId="4">
    <w:abstractNumId w:val="2"/>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4020"/>
    <w:rsid w:val="00154386"/>
    <w:rsid w:val="001D798E"/>
    <w:rsid w:val="00200D28"/>
    <w:rsid w:val="003247F4"/>
    <w:rsid w:val="00350DE7"/>
    <w:rsid w:val="00482647"/>
    <w:rsid w:val="0048687C"/>
    <w:rsid w:val="004B7A8D"/>
    <w:rsid w:val="00506696"/>
    <w:rsid w:val="006B257B"/>
    <w:rsid w:val="007353F8"/>
    <w:rsid w:val="00744020"/>
    <w:rsid w:val="0082211A"/>
    <w:rsid w:val="008B7F53"/>
    <w:rsid w:val="0091789D"/>
    <w:rsid w:val="009222BE"/>
    <w:rsid w:val="00A50C00"/>
    <w:rsid w:val="00A63CB6"/>
    <w:rsid w:val="00AB3A9C"/>
    <w:rsid w:val="00B02543"/>
    <w:rsid w:val="00B44499"/>
    <w:rsid w:val="00B7336B"/>
    <w:rsid w:val="00BB3989"/>
    <w:rsid w:val="00C02B83"/>
    <w:rsid w:val="00C5351E"/>
    <w:rsid w:val="00C87C25"/>
    <w:rsid w:val="00E5207E"/>
    <w:rsid w:val="00EC3130"/>
    <w:rsid w:val="00ED4735"/>
    <w:rsid w:val="00F553E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88895E"/>
  <w15:chartTrackingRefBased/>
  <w15:docId w15:val="{9C64559B-DC39-4A9E-A58F-0B68DA804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440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440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4402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4402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4402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4402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4402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4402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4402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numbering" w:customStyle="1" w:styleId="Stile1">
    <w:name w:val="Stile1"/>
    <w:uiPriority w:val="99"/>
    <w:rsid w:val="0082211A"/>
    <w:pPr>
      <w:numPr>
        <w:numId w:val="1"/>
      </w:numPr>
    </w:pPr>
  </w:style>
  <w:style w:type="character" w:customStyle="1" w:styleId="Titolo1Carattere">
    <w:name w:val="Titolo 1 Carattere"/>
    <w:basedOn w:val="Carpredefinitoparagrafo"/>
    <w:link w:val="Titolo1"/>
    <w:uiPriority w:val="9"/>
    <w:rsid w:val="0074402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4402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4402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4402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4402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4402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4402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4402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44020"/>
    <w:rPr>
      <w:rFonts w:eastAsiaTheme="majorEastAsia" w:cstheme="majorBidi"/>
      <w:color w:val="272727" w:themeColor="text1" w:themeTint="D8"/>
    </w:rPr>
  </w:style>
  <w:style w:type="paragraph" w:styleId="Titolo">
    <w:name w:val="Title"/>
    <w:basedOn w:val="Normale"/>
    <w:next w:val="Normale"/>
    <w:link w:val="TitoloCarattere"/>
    <w:uiPriority w:val="10"/>
    <w:qFormat/>
    <w:rsid w:val="007440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4402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4402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4402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4402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44020"/>
    <w:rPr>
      <w:i/>
      <w:iCs/>
      <w:color w:val="404040" w:themeColor="text1" w:themeTint="BF"/>
    </w:rPr>
  </w:style>
  <w:style w:type="paragraph" w:styleId="Paragrafoelenco">
    <w:name w:val="List Paragraph"/>
    <w:basedOn w:val="Normale"/>
    <w:uiPriority w:val="34"/>
    <w:qFormat/>
    <w:rsid w:val="00744020"/>
    <w:pPr>
      <w:ind w:left="720"/>
      <w:contextualSpacing/>
    </w:pPr>
  </w:style>
  <w:style w:type="character" w:styleId="Enfasiintensa">
    <w:name w:val="Intense Emphasis"/>
    <w:basedOn w:val="Carpredefinitoparagrafo"/>
    <w:uiPriority w:val="21"/>
    <w:qFormat/>
    <w:rsid w:val="00744020"/>
    <w:rPr>
      <w:i/>
      <w:iCs/>
      <w:color w:val="0F4761" w:themeColor="accent1" w:themeShade="BF"/>
    </w:rPr>
  </w:style>
  <w:style w:type="paragraph" w:styleId="Citazioneintensa">
    <w:name w:val="Intense Quote"/>
    <w:basedOn w:val="Normale"/>
    <w:next w:val="Normale"/>
    <w:link w:val="CitazioneintensaCarattere"/>
    <w:uiPriority w:val="30"/>
    <w:qFormat/>
    <w:rsid w:val="007440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44020"/>
    <w:rPr>
      <w:i/>
      <w:iCs/>
      <w:color w:val="0F4761" w:themeColor="accent1" w:themeShade="BF"/>
    </w:rPr>
  </w:style>
  <w:style w:type="character" w:styleId="Riferimentointenso">
    <w:name w:val="Intense Reference"/>
    <w:basedOn w:val="Carpredefinitoparagrafo"/>
    <w:uiPriority w:val="32"/>
    <w:qFormat/>
    <w:rsid w:val="0074402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5D92D85B2F2DE488CBB3064FCCCE160" ma:contentTypeVersion="4" ma:contentTypeDescription="Creare un nuovo documento." ma:contentTypeScope="" ma:versionID="33f4d7adea5a53c32be7256e629db89d">
  <xsd:schema xmlns:xsd="http://www.w3.org/2001/XMLSchema" xmlns:xs="http://www.w3.org/2001/XMLSchema" xmlns:p="http://schemas.microsoft.com/office/2006/metadata/properties" xmlns:ns2="8c5e8bda-f2fd-4b46-b715-2ce90cb43af8" targetNamespace="http://schemas.microsoft.com/office/2006/metadata/properties" ma:root="true" ma:fieldsID="041b753fa0bfb2efa3e4900f867b6f5e" ns2:_="">
    <xsd:import namespace="8c5e8bda-f2fd-4b46-b715-2ce90cb43af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5e8bda-f2fd-4b46-b715-2ce90cb43a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A04874-3EF8-428F-A3BD-CA9394BFA6C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7B20843-2D13-441D-BD84-2C8BEDF5812D}">
  <ds:schemaRefs>
    <ds:schemaRef ds:uri="http://schemas.microsoft.com/sharepoint/v3/contenttype/forms"/>
  </ds:schemaRefs>
</ds:datastoreItem>
</file>

<file path=customXml/itemProps3.xml><?xml version="1.0" encoding="utf-8"?>
<ds:datastoreItem xmlns:ds="http://schemas.openxmlformats.org/officeDocument/2006/customXml" ds:itemID="{F489BE9E-FD66-4033-9270-8707D2405A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5e8bda-f2fd-4b46-b715-2ce90cb43a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788</Words>
  <Characters>4492</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Crivelli</dc:creator>
  <cp:keywords/>
  <dc:description/>
  <cp:lastModifiedBy>Anna Ghedini</cp:lastModifiedBy>
  <cp:revision>2</cp:revision>
  <dcterms:created xsi:type="dcterms:W3CDTF">2024-05-15T12:10:00Z</dcterms:created>
  <dcterms:modified xsi:type="dcterms:W3CDTF">2024-05-15T12:10:00Z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0x01010045D92D85B2F2DE488CBB3064FCCCE160</vt:lpwstr>
  </property>
</Properties>
</file>